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57017" w:rsidRDefault="0099291D">
      <w:pPr>
        <w:spacing w:before="120" w:after="120"/>
        <w:ind w:right="2"/>
        <w:rPr>
          <w:b/>
          <w:bCs/>
          <w:kern w:val="0"/>
          <w:sz w:val="28"/>
          <w:szCs w:val="28"/>
        </w:rPr>
      </w:pPr>
      <w:r>
        <w:rPr>
          <w:b/>
          <w:bCs/>
          <w:sz w:val="28"/>
          <w:szCs w:val="28"/>
        </w:rPr>
        <w:t>3GPP TSG RAN WG1 #107bis-e</w:t>
      </w:r>
      <w:r>
        <w:rPr>
          <w:b/>
          <w:bCs/>
          <w:sz w:val="28"/>
          <w:szCs w:val="28"/>
        </w:rPr>
        <w:tab/>
      </w:r>
      <w:r>
        <w:rPr>
          <w:b/>
          <w:bCs/>
          <w:sz w:val="28"/>
          <w:szCs w:val="28"/>
        </w:rPr>
        <w:tab/>
      </w:r>
      <w:r>
        <w:rPr>
          <w:b/>
          <w:bCs/>
          <w:sz w:val="28"/>
          <w:szCs w:val="28"/>
        </w:rPr>
        <w:tab/>
        <w:t xml:space="preserve">                     R1-2200071</w:t>
      </w:r>
    </w:p>
    <w:p w:rsidR="00C57017" w:rsidRDefault="0099291D">
      <w:pPr>
        <w:spacing w:before="120" w:after="120"/>
        <w:rPr>
          <w:rFonts w:eastAsia="MS Mincho"/>
          <w:b/>
          <w:bCs/>
          <w:sz w:val="28"/>
          <w:szCs w:val="28"/>
        </w:rPr>
      </w:pPr>
      <w:r>
        <w:rPr>
          <w:rFonts w:eastAsia="MS Mincho"/>
          <w:b/>
          <w:bCs/>
          <w:sz w:val="28"/>
          <w:szCs w:val="28"/>
        </w:rPr>
        <w:t>e-Meeting, January 17</w:t>
      </w:r>
      <w:r>
        <w:rPr>
          <w:rFonts w:eastAsia="MS Mincho"/>
          <w:b/>
          <w:bCs/>
          <w:sz w:val="28"/>
          <w:szCs w:val="28"/>
          <w:vertAlign w:val="superscript"/>
        </w:rPr>
        <w:t>th</w:t>
      </w:r>
      <w:r>
        <w:rPr>
          <w:rFonts w:eastAsia="MS Mincho"/>
          <w:b/>
          <w:bCs/>
          <w:sz w:val="28"/>
          <w:szCs w:val="28"/>
        </w:rPr>
        <w:t xml:space="preserve"> – 25</w:t>
      </w:r>
      <w:r>
        <w:rPr>
          <w:rFonts w:eastAsia="MS Mincho"/>
          <w:b/>
          <w:bCs/>
          <w:sz w:val="28"/>
          <w:szCs w:val="28"/>
          <w:vertAlign w:val="superscript"/>
        </w:rPr>
        <w:t>th</w:t>
      </w:r>
      <w:r>
        <w:rPr>
          <w:rFonts w:eastAsia="MS Mincho"/>
          <w:b/>
          <w:bCs/>
          <w:sz w:val="28"/>
          <w:szCs w:val="28"/>
        </w:rPr>
        <w:t>, 2022</w:t>
      </w:r>
    </w:p>
    <w:p w:rsidR="00C57017" w:rsidRDefault="0099291D">
      <w:pPr>
        <w:tabs>
          <w:tab w:val="center" w:pos="4536"/>
          <w:tab w:val="right" w:pos="9072"/>
        </w:tabs>
        <w:spacing w:before="120" w:after="120"/>
        <w:rPr>
          <w:b/>
          <w:sz w:val="22"/>
          <w:szCs w:val="22"/>
        </w:rPr>
      </w:pPr>
      <w:r>
        <w:rPr>
          <w:b/>
          <w:sz w:val="22"/>
          <w:szCs w:val="22"/>
        </w:rPr>
        <w:tab/>
      </w:r>
    </w:p>
    <w:p w:rsidR="00C57017" w:rsidRDefault="0099291D">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ZTE, Sanechips</w:t>
      </w:r>
    </w:p>
    <w:p w:rsidR="00C57017" w:rsidRDefault="0099291D">
      <w:pPr>
        <w:tabs>
          <w:tab w:val="left" w:pos="1985"/>
        </w:tabs>
        <w:spacing w:before="120" w:after="120" w:line="240" w:lineRule="auto"/>
        <w:ind w:left="1980" w:hanging="1980"/>
        <w:rPr>
          <w:b/>
          <w:sz w:val="22"/>
          <w:szCs w:val="22"/>
        </w:rPr>
      </w:pPr>
      <w:r>
        <w:rPr>
          <w:b/>
          <w:sz w:val="22"/>
          <w:szCs w:val="22"/>
        </w:rPr>
        <w:t>Title:</w:t>
      </w:r>
      <w:r>
        <w:rPr>
          <w:b/>
          <w:sz w:val="22"/>
          <w:szCs w:val="22"/>
        </w:rPr>
        <w:tab/>
        <w:t>Discussion on UE feature for UE power saving enhancements</w:t>
      </w:r>
    </w:p>
    <w:p w:rsidR="00C57017" w:rsidRDefault="0099291D">
      <w:pPr>
        <w:tabs>
          <w:tab w:val="left" w:pos="1985"/>
        </w:tabs>
        <w:spacing w:before="120" w:after="120" w:line="240" w:lineRule="auto"/>
        <w:rPr>
          <w:b/>
          <w:sz w:val="22"/>
          <w:szCs w:val="22"/>
        </w:rPr>
      </w:pPr>
      <w:r>
        <w:rPr>
          <w:b/>
          <w:sz w:val="22"/>
          <w:szCs w:val="22"/>
          <w:lang w:val="pt-BR"/>
        </w:rPr>
        <w:t>Agenda item:</w:t>
      </w:r>
      <w:r>
        <w:rPr>
          <w:b/>
          <w:sz w:val="22"/>
          <w:szCs w:val="22"/>
          <w:lang w:val="pt-BR"/>
        </w:rPr>
        <w:tab/>
        <w:t>8.15.7</w:t>
      </w:r>
    </w:p>
    <w:p w:rsidR="00C57017" w:rsidRDefault="0099291D">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C57017" w:rsidRDefault="0099291D">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C57017" w:rsidRDefault="0099291D">
      <w:pPr>
        <w:spacing w:before="120" w:after="120"/>
      </w:pPr>
      <w:r>
        <w:t>The UE feature list for UE power saving enhancement can be found in the appendix according to the agreements in</w:t>
      </w:r>
      <w:r>
        <w:rPr>
          <w:rFonts w:hint="eastAsia"/>
        </w:rPr>
        <w:t xml:space="preserve"> </w:t>
      </w:r>
      <w:r>
        <w:t>previous</w:t>
      </w:r>
      <w:r>
        <w:rPr>
          <w:rFonts w:hint="eastAsia"/>
        </w:rPr>
        <w:t xml:space="preserve"> meeting</w:t>
      </w:r>
      <w:r>
        <w:t>s [1-3]</w:t>
      </w:r>
      <w:r>
        <w:rPr>
          <w:rFonts w:hint="eastAsia"/>
        </w:rPr>
        <w:t>.</w:t>
      </w:r>
      <w:r>
        <w:t xml:space="preserve"> </w:t>
      </w:r>
      <w:r>
        <w:rPr>
          <w:rFonts w:hint="eastAsia"/>
        </w:rPr>
        <w:t>In this contribution,</w:t>
      </w:r>
      <w:r>
        <w:t xml:space="preserve"> more details are discussed.</w:t>
      </w:r>
      <w:r>
        <w:rPr>
          <w:rFonts w:hint="eastAsia"/>
        </w:rPr>
        <w:t xml:space="preserve"> </w:t>
      </w:r>
    </w:p>
    <w:p w:rsidR="00C57017" w:rsidRDefault="0099291D">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Discussion</w:t>
      </w:r>
    </w:p>
    <w:p w:rsidR="00C57017" w:rsidRDefault="0099291D">
      <w:pPr>
        <w:pStyle w:val="2"/>
        <w:numPr>
          <w:ilvl w:val="0"/>
          <w:numId w:val="8"/>
        </w:numPr>
        <w:spacing w:before="120" w:after="120" w:line="260" w:lineRule="auto"/>
        <w:ind w:right="210"/>
        <w:rPr>
          <w:rFonts w:ascii="Times New Roman" w:eastAsia="宋体" w:hAnsi="Times New Roman"/>
          <w:b/>
          <w:bCs/>
          <w:sz w:val="22"/>
          <w:szCs w:val="22"/>
        </w:rPr>
      </w:pPr>
      <w:r>
        <w:rPr>
          <w:rFonts w:ascii="Times New Roman" w:eastAsia="宋体" w:hAnsi="Times New Roman"/>
          <w:b/>
          <w:bCs/>
          <w:sz w:val="22"/>
          <w:szCs w:val="22"/>
        </w:rPr>
        <w:t>29-1 paging enhancement</w:t>
      </w:r>
    </w:p>
    <w:p w:rsidR="00C57017" w:rsidRDefault="0099291D">
      <w:pPr>
        <w:spacing w:before="120" w:after="120"/>
      </w:pPr>
      <w:r>
        <w:t>As to the type of UE FG 29-1, differentiating the feature among multiple aspects, such as frequency range, TDD/FDD, etc., is not beneficial to exploit the best UE power saving benefits. Therefore, per-UE is sufficient</w:t>
      </w:r>
      <w:r>
        <w:rPr>
          <w:rFonts w:hint="eastAsia"/>
        </w:rPr>
        <w:t xml:space="preserve"> for paging enhancement</w:t>
      </w:r>
      <w:r>
        <w:t xml:space="preserve">. </w:t>
      </w:r>
    </w:p>
    <w:p w:rsidR="00C57017" w:rsidRDefault="0099291D">
      <w:pPr>
        <w:pStyle w:val="YJ-Proposal"/>
        <w:spacing w:before="120" w:after="120"/>
        <w:rPr>
          <w:rFonts w:eastAsia="宋体"/>
          <w:i w:val="0"/>
        </w:rPr>
      </w:pPr>
      <w:bookmarkStart w:id="0" w:name="_Toc92808673"/>
      <w:r>
        <w:rPr>
          <w:rFonts w:eastAsia="宋体"/>
          <w:i w:val="0"/>
        </w:rPr>
        <w:t>The capability type</w:t>
      </w:r>
      <w:r>
        <w:rPr>
          <w:i w:val="0"/>
        </w:rPr>
        <w:t xml:space="preserve"> of feature group 29-1</w:t>
      </w:r>
      <w:r>
        <w:rPr>
          <w:rFonts w:eastAsia="宋体"/>
          <w:i w:val="0"/>
        </w:rPr>
        <w:t xml:space="preserve"> is per UE.</w:t>
      </w:r>
      <w:bookmarkEnd w:id="0"/>
    </w:p>
    <w:p w:rsidR="00C57017" w:rsidRDefault="0099291D">
      <w:pPr>
        <w:pStyle w:val="2"/>
        <w:numPr>
          <w:ilvl w:val="0"/>
          <w:numId w:val="8"/>
        </w:numPr>
        <w:spacing w:before="120" w:after="120" w:line="260" w:lineRule="auto"/>
        <w:ind w:right="210"/>
        <w:rPr>
          <w:rFonts w:ascii="Times New Roman" w:eastAsia="宋体" w:hAnsi="Times New Roman"/>
          <w:b/>
          <w:bCs/>
          <w:sz w:val="22"/>
          <w:szCs w:val="22"/>
        </w:rPr>
      </w:pPr>
      <w:r>
        <w:rPr>
          <w:rFonts w:ascii="Times New Roman" w:eastAsia="宋体" w:hAnsi="Times New Roman"/>
          <w:b/>
          <w:bCs/>
          <w:sz w:val="22"/>
          <w:szCs w:val="22"/>
        </w:rPr>
        <w:t>29-2 TRS</w:t>
      </w:r>
    </w:p>
    <w:tbl>
      <w:tblPr>
        <w:tblStyle w:val="ac"/>
        <w:tblW w:w="0" w:type="auto"/>
        <w:tblLook w:val="04A0" w:firstRow="1" w:lastRow="0" w:firstColumn="1" w:lastColumn="0" w:noHBand="0" w:noVBand="1"/>
      </w:tblPr>
      <w:tblGrid>
        <w:gridCol w:w="9876"/>
      </w:tblGrid>
      <w:tr w:rsidR="00C57017">
        <w:tc>
          <w:tcPr>
            <w:tcW w:w="9876" w:type="dxa"/>
          </w:tcPr>
          <w:p w:rsidR="00C57017" w:rsidRDefault="0099291D">
            <w:pPr>
              <w:spacing w:before="120" w:after="120"/>
              <w:rPr>
                <w:kern w:val="0"/>
                <w:szCs w:val="21"/>
              </w:rPr>
            </w:pPr>
            <w:r>
              <w:rPr>
                <w:szCs w:val="21"/>
                <w:highlight w:val="green"/>
              </w:rPr>
              <w:t>Agreement</w:t>
            </w:r>
          </w:p>
          <w:p w:rsidR="00C57017" w:rsidRDefault="0099291D">
            <w:pPr>
              <w:spacing w:beforeLines="0" w:before="120" w:afterLines="0" w:after="120"/>
              <w:rPr>
                <w:szCs w:val="21"/>
              </w:rPr>
            </w:pPr>
            <w:r>
              <w:rPr>
                <w:szCs w:val="21"/>
              </w:rPr>
              <w:t>The following working assumption is confirmed</w:t>
            </w:r>
          </w:p>
          <w:p w:rsidR="00C57017" w:rsidRDefault="0099291D">
            <w:pPr>
              <w:spacing w:beforeLines="0" w:before="120" w:afterLines="0" w:after="120"/>
              <w:rPr>
                <w:szCs w:val="21"/>
              </w:rPr>
            </w:pPr>
            <w:r>
              <w:rPr>
                <w:szCs w:val="21"/>
                <w:highlight w:val="darkYellow"/>
              </w:rPr>
              <w:t>Working Assumption</w:t>
            </w:r>
          </w:p>
          <w:p w:rsidR="00C57017" w:rsidRDefault="0099291D">
            <w:pPr>
              <w:pStyle w:val="ListParagraph2"/>
              <w:numPr>
                <w:ilvl w:val="0"/>
                <w:numId w:val="9"/>
              </w:numPr>
              <w:overflowPunct w:val="0"/>
              <w:autoSpaceDE w:val="0"/>
              <w:autoSpaceDN w:val="0"/>
              <w:adjustRightInd w:val="0"/>
              <w:spacing w:before="120" w:beforeAutospacing="0" w:after="120" w:afterAutospacing="0"/>
              <w:ind w:leftChars="0" w:left="1077"/>
              <w:contextualSpacing/>
              <w:textAlignment w:val="baseline"/>
              <w:rPr>
                <w:sz w:val="21"/>
                <w:szCs w:val="21"/>
              </w:rPr>
            </w:pPr>
            <w:r>
              <w:rPr>
                <w:sz w:val="21"/>
                <w:szCs w:val="21"/>
              </w:rPr>
              <w:t>Support paging PDCCH based availability indication of TRS/CSI-RS occasions for idle/inactive UEs.</w:t>
            </w:r>
          </w:p>
          <w:p w:rsidR="00C57017" w:rsidRDefault="0099291D">
            <w:pPr>
              <w:pStyle w:val="ListParagraph2"/>
              <w:numPr>
                <w:ilvl w:val="0"/>
                <w:numId w:val="9"/>
              </w:numPr>
              <w:overflowPunct w:val="0"/>
              <w:autoSpaceDE w:val="0"/>
              <w:autoSpaceDN w:val="0"/>
              <w:adjustRightInd w:val="0"/>
              <w:spacing w:before="120" w:after="120" w:afterAutospacing="0"/>
              <w:ind w:leftChars="0"/>
              <w:contextualSpacing/>
              <w:textAlignment w:val="baseline"/>
              <w:rPr>
                <w:sz w:val="21"/>
                <w:szCs w:val="21"/>
              </w:rPr>
            </w:pPr>
            <w:r>
              <w:rPr>
                <w:sz w:val="21"/>
                <w:szCs w:val="21"/>
              </w:rPr>
              <w:t>Support PEI based availability indication of TRS/CSI-RS occasions for idle/inactive UEs at least if PDCCH-based PEI is down-selected.</w:t>
            </w:r>
          </w:p>
        </w:tc>
      </w:tr>
      <w:tr w:rsidR="00C57017">
        <w:tc>
          <w:tcPr>
            <w:tcW w:w="9876" w:type="dxa"/>
          </w:tcPr>
          <w:p w:rsidR="00C57017" w:rsidRDefault="0099291D">
            <w:pPr>
              <w:pStyle w:val="5"/>
              <w:spacing w:before="120" w:after="120"/>
              <w:jc w:val="center"/>
              <w:outlineLvl w:val="4"/>
              <w:rPr>
                <w:b w:val="0"/>
                <w:bCs w:val="0"/>
                <w:sz w:val="21"/>
                <w:szCs w:val="21"/>
              </w:rPr>
            </w:pPr>
            <w:r>
              <w:rPr>
                <w:b w:val="0"/>
                <w:bCs w:val="0"/>
                <w:sz w:val="21"/>
                <w:szCs w:val="21"/>
              </w:rPr>
              <w:t>…………………………………………………..TS 38.212………………………………………………………</w:t>
            </w:r>
          </w:p>
          <w:p w:rsidR="00C57017" w:rsidRDefault="0099291D">
            <w:pPr>
              <w:pStyle w:val="5"/>
              <w:spacing w:before="120" w:after="120"/>
              <w:outlineLvl w:val="4"/>
              <w:rPr>
                <w:b w:val="0"/>
                <w:bCs w:val="0"/>
                <w:sz w:val="21"/>
                <w:szCs w:val="21"/>
              </w:rPr>
            </w:pPr>
            <w:r>
              <w:rPr>
                <w:b w:val="0"/>
                <w:bCs w:val="0"/>
                <w:sz w:val="21"/>
                <w:szCs w:val="21"/>
              </w:rPr>
              <w:t>7.3.1.3.8</w:t>
            </w:r>
            <w:r>
              <w:rPr>
                <w:b w:val="0"/>
                <w:bCs w:val="0"/>
                <w:sz w:val="21"/>
                <w:szCs w:val="21"/>
              </w:rPr>
              <w:tab/>
              <w:t>Format 2_7</w:t>
            </w:r>
          </w:p>
          <w:p w:rsidR="00C57017" w:rsidRDefault="0099291D">
            <w:pPr>
              <w:spacing w:before="120" w:after="120"/>
            </w:pPr>
            <w:r>
              <w:rPr>
                <w:bCs/>
                <w:szCs w:val="21"/>
              </w:rPr>
              <w:t>………</w:t>
            </w:r>
          </w:p>
          <w:p w:rsidR="00C57017" w:rsidRDefault="0099291D">
            <w:pPr>
              <w:spacing w:before="120" w:after="120"/>
              <w:rPr>
                <w:szCs w:val="21"/>
              </w:rPr>
            </w:pPr>
            <w:r>
              <w:rPr>
                <w:szCs w:val="21"/>
              </w:rPr>
              <w:t>The following information is transmitted by means of the DCI format 2_7 with CRC scrambled by PEI-RNTI:</w:t>
            </w:r>
          </w:p>
          <w:p w:rsidR="00C57017" w:rsidRDefault="0099291D">
            <w:pPr>
              <w:spacing w:before="120" w:after="120"/>
              <w:ind w:left="568" w:hanging="284"/>
              <w:rPr>
                <w:szCs w:val="21"/>
              </w:rPr>
            </w:pPr>
            <w:r>
              <w:rPr>
                <w:szCs w:val="21"/>
              </w:rPr>
              <w:t>-</w:t>
            </w:r>
            <w:r>
              <w:rPr>
                <w:szCs w:val="21"/>
              </w:rPr>
              <w:tab/>
              <w:t xml:space="preserve">Paging indication field – </w:t>
            </w:r>
            <w:r>
              <w:rPr>
                <w:noProof/>
                <w:szCs w:val="21"/>
              </w:rPr>
              <w:drawing>
                <wp:inline distT="0" distB="0" distL="0" distR="0">
                  <wp:extent cx="629285" cy="153670"/>
                  <wp:effectExtent l="0" t="0" r="0" b="0"/>
                  <wp:docPr id="5" name="图片 5" descr="C:\Users\00206166\AppData\Local\Temp\ksohtml647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00206166\AppData\Local\Temp\ksohtml6472\wps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29285" cy="153670"/>
                          </a:xfrm>
                          <a:prstGeom prst="rect">
                            <a:avLst/>
                          </a:prstGeom>
                          <a:noFill/>
                          <a:ln>
                            <a:noFill/>
                          </a:ln>
                        </pic:spPr>
                      </pic:pic>
                    </a:graphicData>
                  </a:graphic>
                </wp:inline>
              </w:drawing>
            </w:r>
            <w:r>
              <w:rPr>
                <w:szCs w:val="21"/>
              </w:rPr>
              <w:t xml:space="preserve"> bit(s), where</w:t>
            </w:r>
          </w:p>
          <w:p w:rsidR="00C57017" w:rsidRDefault="0099291D">
            <w:pPr>
              <w:spacing w:before="120" w:after="120"/>
              <w:ind w:left="568"/>
              <w:rPr>
                <w:szCs w:val="21"/>
              </w:rPr>
            </w:pPr>
            <w:r>
              <w:rPr>
                <w:szCs w:val="21"/>
              </w:rPr>
              <w:t>….</w:t>
            </w:r>
          </w:p>
          <w:p w:rsidR="00C57017" w:rsidRDefault="0099291D">
            <w:pPr>
              <w:spacing w:before="120" w:after="120"/>
              <w:ind w:left="568" w:hanging="284"/>
              <w:rPr>
                <w:szCs w:val="21"/>
              </w:rPr>
            </w:pPr>
            <w:r>
              <w:rPr>
                <w:szCs w:val="21"/>
              </w:rPr>
              <w:t>-</w:t>
            </w:r>
            <w:r>
              <w:rPr>
                <w:szCs w:val="21"/>
              </w:rPr>
              <w:tab/>
              <w:t>TRS availability indication – 1, 2, 3, 4, 5, or 6 bits</w:t>
            </w:r>
            <w:r>
              <w:rPr>
                <w:color w:val="000000"/>
                <w:szCs w:val="21"/>
              </w:rPr>
              <w:t xml:space="preserve"> if </w:t>
            </w:r>
            <w:r>
              <w:rPr>
                <w:i/>
                <w:szCs w:val="21"/>
              </w:rPr>
              <w:t xml:space="preserve">TRS-ResourceSetConfig </w:t>
            </w:r>
            <w:r>
              <w:rPr>
                <w:szCs w:val="21"/>
              </w:rPr>
              <w:t>is configured; 0 bits otherwise.</w:t>
            </w:r>
          </w:p>
        </w:tc>
      </w:tr>
    </w:tbl>
    <w:p w:rsidR="00C57017" w:rsidRDefault="0007635D">
      <w:pPr>
        <w:spacing w:before="120" w:after="120"/>
        <w:rPr>
          <w:rFonts w:ascii="Times" w:hAnsi="Times"/>
        </w:rPr>
      </w:pPr>
      <w:r>
        <w:t>The dynamic indication of TRS availability indication can be conveyed by paging DCI and PDCCH-based PEI according to the agreements.</w:t>
      </w:r>
    </w:p>
    <w:p w:rsidR="00C57017" w:rsidRDefault="0099291D">
      <w:pPr>
        <w:spacing w:before="120" w:after="120"/>
        <w:rPr>
          <w:rFonts w:ascii="Times" w:hAnsi="Times"/>
        </w:rPr>
      </w:pPr>
      <w:r>
        <w:rPr>
          <w:rFonts w:ascii="Times" w:hAnsi="Times"/>
        </w:rPr>
        <w:lastRenderedPageBreak/>
        <w:t xml:space="preserve">Furthermore, according to the endorsed 38.212[4], the DCI format 2-7 </w:t>
      </w:r>
      <w:r>
        <w:rPr>
          <w:rFonts w:ascii="Times" w:hAnsi="Times" w:hint="eastAsia"/>
        </w:rPr>
        <w:t>(</w:t>
      </w:r>
      <w:r>
        <w:rPr>
          <w:rFonts w:ascii="Times" w:hAnsi="Times"/>
        </w:rPr>
        <w:t xml:space="preserve">i.e., </w:t>
      </w:r>
      <w:r>
        <w:t>PDCCH-based PEI</w:t>
      </w:r>
      <w:r>
        <w:rPr>
          <w:rFonts w:ascii="Times" w:hAnsi="Times"/>
        </w:rPr>
        <w:t xml:space="preserve">) can be used to carry both paging indication and TRS availability information. Considering FG 29-1 and FG 29-2 are separate FGs, it should be clarified that if UE doesn’t support FG 29-1, whether UE can detect DCI format 2-7 for TRS availability indication or not. </w:t>
      </w:r>
    </w:p>
    <w:p w:rsidR="00C57017" w:rsidRDefault="0099291D">
      <w:pPr>
        <w:pStyle w:val="YJ-Proposal"/>
        <w:spacing w:before="120" w:after="120"/>
        <w:rPr>
          <w:rFonts w:eastAsia="宋体"/>
          <w:i w:val="0"/>
        </w:rPr>
      </w:pPr>
      <w:bookmarkStart w:id="1" w:name="_Toc92808674"/>
      <w:r>
        <w:rPr>
          <w:rFonts w:eastAsia="宋体"/>
          <w:i w:val="0"/>
        </w:rPr>
        <w:t>I</w:t>
      </w:r>
      <w:r>
        <w:rPr>
          <w:rFonts w:ascii="Times" w:hAnsi="Times"/>
          <w:i w:val="0"/>
        </w:rPr>
        <w:t>t should be clarified that if UE doesn’t support FG 29-1, whether UE can detect DCI format 2-7 for TRS availability indication or not.</w:t>
      </w:r>
      <w:bookmarkEnd w:id="1"/>
    </w:p>
    <w:p w:rsidR="00C57017" w:rsidRDefault="0099291D">
      <w:pPr>
        <w:pStyle w:val="YJ-Proposal"/>
        <w:spacing w:before="120" w:after="120"/>
        <w:rPr>
          <w:rFonts w:eastAsia="宋体"/>
          <w:i w:val="0"/>
        </w:rPr>
      </w:pPr>
      <w:bookmarkStart w:id="2" w:name="_Toc92808675"/>
      <w:r>
        <w:rPr>
          <w:rFonts w:eastAsia="宋体"/>
          <w:i w:val="0"/>
        </w:rPr>
        <w:t>The capability type</w:t>
      </w:r>
      <w:r>
        <w:rPr>
          <w:i w:val="0"/>
        </w:rPr>
        <w:t xml:space="preserve"> of feature group 29-2</w:t>
      </w:r>
      <w:r>
        <w:rPr>
          <w:rFonts w:eastAsia="宋体"/>
          <w:i w:val="0"/>
        </w:rPr>
        <w:t xml:space="preserve"> is per UE.</w:t>
      </w:r>
      <w:bookmarkEnd w:id="2"/>
    </w:p>
    <w:p w:rsidR="00C57017" w:rsidRDefault="0099291D">
      <w:pPr>
        <w:pStyle w:val="2"/>
        <w:numPr>
          <w:ilvl w:val="0"/>
          <w:numId w:val="8"/>
        </w:numPr>
        <w:spacing w:before="120" w:after="120" w:line="260" w:lineRule="auto"/>
        <w:ind w:right="210"/>
        <w:rPr>
          <w:rFonts w:ascii="Times New Roman" w:eastAsia="宋体" w:hAnsi="Times New Roman"/>
          <w:b/>
          <w:bCs/>
          <w:sz w:val="22"/>
          <w:szCs w:val="22"/>
        </w:rPr>
      </w:pPr>
      <w:r>
        <w:rPr>
          <w:rFonts w:ascii="Times New Roman" w:eastAsia="宋体" w:hAnsi="Times New Roman"/>
          <w:b/>
          <w:bCs/>
          <w:sz w:val="22"/>
          <w:szCs w:val="22"/>
        </w:rPr>
        <w:t>29-3 PDCCH monitoring adaptation</w:t>
      </w:r>
    </w:p>
    <w:p w:rsidR="00C57017" w:rsidRDefault="0099291D">
      <w:pPr>
        <w:spacing w:before="120" w:after="120"/>
      </w:pPr>
      <w:r>
        <w:t xml:space="preserve">In RAN1#106e meeting, the common design of PDCCH skipping and SSSG switching was agreed. To enable the flexible implementation at both gNB and UE side, separate UE capability signaling for PDCCH skipping and SSSG switching </w:t>
      </w:r>
      <w:r w:rsidR="0007635D">
        <w:rPr>
          <w:rFonts w:hint="eastAsia"/>
        </w:rPr>
        <w:t>is</w:t>
      </w:r>
      <w:r w:rsidR="0007635D">
        <w:t xml:space="preserve"> </w:t>
      </w:r>
      <w:r>
        <w:t>s</w:t>
      </w:r>
      <w:r w:rsidR="0007635D">
        <w:t>upported in [2]. The discrepancies are</w:t>
      </w:r>
      <w:r>
        <w:t xml:space="preserve"> whether FG 29-3c and FG 29-3d are needed with dedicated capability signaling. </w:t>
      </w:r>
    </w:p>
    <w:p w:rsidR="00C57017" w:rsidRDefault="0099291D">
      <w:pPr>
        <w:spacing w:before="120" w:after="120"/>
      </w:pPr>
      <w:r>
        <w:rPr>
          <w:rFonts w:hint="eastAsia"/>
        </w:rPr>
        <w:t>In</w:t>
      </w:r>
      <w:r>
        <w:t xml:space="preserve"> our understanding, the indication of FG 29-3c can be incorporated into FG 29-3b.</w:t>
      </w:r>
      <w:r>
        <w:rPr>
          <w:rFonts w:hint="eastAsia"/>
        </w:rPr>
        <w:t xml:space="preserve"> </w:t>
      </w:r>
      <w:r>
        <w:t xml:space="preserve">Moreover, it is not necessary to further introduce FG 29-3d for the support of both PDCCH skipping and SSSG switching.  </w:t>
      </w:r>
    </w:p>
    <w:p w:rsidR="00C57017" w:rsidRDefault="0099291D">
      <w:pPr>
        <w:pStyle w:val="YJ-Proposal"/>
        <w:spacing w:before="120" w:after="120"/>
        <w:rPr>
          <w:rFonts w:eastAsia="宋体"/>
        </w:rPr>
      </w:pPr>
      <w:bookmarkStart w:id="3" w:name="_Toc92808676"/>
      <w:r>
        <w:rPr>
          <w:i w:val="0"/>
        </w:rPr>
        <w:t>The indication of FG 29-3c can be incorporated into FG 29-3b.</w:t>
      </w:r>
      <w:bookmarkEnd w:id="3"/>
    </w:p>
    <w:p w:rsidR="00C57017" w:rsidRDefault="0099291D">
      <w:pPr>
        <w:pStyle w:val="YJ-Proposal"/>
        <w:spacing w:before="120" w:after="120"/>
        <w:rPr>
          <w:rFonts w:eastAsia="宋体"/>
          <w:i w:val="0"/>
        </w:rPr>
      </w:pPr>
      <w:bookmarkStart w:id="4" w:name="_Toc92808677"/>
      <w:r>
        <w:rPr>
          <w:i w:val="0"/>
        </w:rPr>
        <w:t xml:space="preserve">Update FG 29-3b as </w:t>
      </w:r>
      <w:r>
        <w:rPr>
          <w:rFonts w:eastAsia="宋体"/>
          <w:i w:val="0"/>
          <w:lang w:eastAsia="zh-CN"/>
        </w:rPr>
        <w:t>“</w:t>
      </w:r>
      <w:r>
        <w:rPr>
          <w:rFonts w:eastAsia="宋体"/>
          <w:i w:val="0"/>
        </w:rPr>
        <w:t>Support of search space set group switching”</w:t>
      </w:r>
      <w:bookmarkEnd w:id="4"/>
    </w:p>
    <w:p w:rsidR="00C57017" w:rsidRDefault="0099291D">
      <w:pPr>
        <w:pStyle w:val="YJ-Proposal"/>
        <w:spacing w:before="120" w:after="120"/>
        <w:rPr>
          <w:rFonts w:eastAsia="宋体"/>
          <w:i w:val="0"/>
        </w:rPr>
      </w:pPr>
      <w:bookmarkStart w:id="5" w:name="_Toc92808678"/>
      <w:r>
        <w:rPr>
          <w:i w:val="0"/>
        </w:rPr>
        <w:t xml:space="preserve">As to FG 29-3, </w:t>
      </w:r>
      <w:r>
        <w:rPr>
          <w:rFonts w:eastAsia="宋体"/>
          <w:i w:val="0"/>
        </w:rPr>
        <w:t>the capability type should be per UE</w:t>
      </w:r>
      <w:bookmarkEnd w:id="5"/>
    </w:p>
    <w:p w:rsidR="00C57017" w:rsidRDefault="0099291D">
      <w:pPr>
        <w:spacing w:before="120" w:after="120"/>
      </w:pPr>
      <w:r>
        <w:rPr>
          <w:rFonts w:hint="eastAsia"/>
        </w:rPr>
        <w:t>H</w:t>
      </w:r>
      <w:r>
        <w:t xml:space="preserve">owever, if FG 29-3c is separated from FG 29-3b considering the potential implementation complexity, the FG 29-3d </w:t>
      </w:r>
      <w:r>
        <w:rPr>
          <w:rFonts w:hint="eastAsia"/>
        </w:rPr>
        <w:t>a</w:t>
      </w:r>
      <w:r>
        <w:t>lso needs a dedicated signaling</w:t>
      </w:r>
      <w:r w:rsidR="0007635D">
        <w:t xml:space="preserve"> following the same logic</w:t>
      </w:r>
      <w:r>
        <w:t>.</w:t>
      </w:r>
    </w:p>
    <w:p w:rsidR="00C57017" w:rsidRDefault="0099291D">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rsidR="00C57017" w:rsidRDefault="0099291D">
      <w:pPr>
        <w:spacing w:before="120" w:after="120"/>
        <w:rPr>
          <w:szCs w:val="22"/>
        </w:rPr>
      </w:pPr>
      <w:r>
        <w:rPr>
          <w:rFonts w:hint="eastAsia"/>
        </w:rPr>
        <w:t xml:space="preserve">In this contribution, we discuss the </w:t>
      </w:r>
      <w:r>
        <w:t xml:space="preserve">UE features for </w:t>
      </w:r>
      <w:r>
        <w:rPr>
          <w:rFonts w:hint="eastAsia"/>
        </w:rPr>
        <w:t>power saving enhancement</w:t>
      </w:r>
      <w:r>
        <w:t>s</w:t>
      </w:r>
      <w:r>
        <w:rPr>
          <w:rFonts w:hint="eastAsia"/>
        </w:rPr>
        <w:t>. We have the following proposals.</w:t>
      </w:r>
    </w:p>
    <w:p w:rsidR="0007635D" w:rsidRDefault="0099291D" w:rsidP="0007635D">
      <w:pPr>
        <w:pStyle w:val="10"/>
        <w:jc w:val="both"/>
        <w:rPr>
          <w:rFonts w:asciiTheme="minorHAnsi" w:hAnsiTheme="minorHAnsi" w:cstheme="minorBidi"/>
          <w:b w:val="0"/>
          <w:bCs w:val="0"/>
          <w:noProof/>
          <w:sz w:val="21"/>
          <w:szCs w:val="22"/>
        </w:rPr>
      </w:pPr>
      <w:r>
        <w:rPr>
          <w:i/>
          <w:iCs/>
        </w:rPr>
        <w:fldChar w:fldCharType="begin"/>
      </w:r>
      <w:r>
        <w:instrText>TOC \n  \t "YJ-Proposal,1,sub-proposal,2,3rd level proposal,3" \h</w:instrText>
      </w:r>
      <w:r>
        <w:rPr>
          <w:i/>
          <w:iCs/>
        </w:rPr>
        <w:fldChar w:fldCharType="separate"/>
      </w:r>
      <w:hyperlink w:anchor="_Toc92808673" w:history="1">
        <w:r w:rsidR="0007635D" w:rsidRPr="00932698">
          <w:rPr>
            <w:rStyle w:val="af"/>
            <w:rFonts w:eastAsia="宋体"/>
            <w:noProof/>
          </w:rPr>
          <w:t>Proposal 1:</w:t>
        </w:r>
        <w:r w:rsidR="0007635D">
          <w:rPr>
            <w:rFonts w:asciiTheme="minorHAnsi" w:hAnsiTheme="minorHAnsi" w:cstheme="minorBidi"/>
            <w:b w:val="0"/>
            <w:bCs w:val="0"/>
            <w:noProof/>
            <w:sz w:val="21"/>
            <w:szCs w:val="22"/>
          </w:rPr>
          <w:tab/>
        </w:r>
        <w:r w:rsidR="0007635D" w:rsidRPr="00932698">
          <w:rPr>
            <w:rStyle w:val="af"/>
            <w:rFonts w:eastAsia="宋体"/>
            <w:noProof/>
          </w:rPr>
          <w:t>The capability type</w:t>
        </w:r>
        <w:r w:rsidR="0007635D" w:rsidRPr="00932698">
          <w:rPr>
            <w:rStyle w:val="af"/>
            <w:noProof/>
          </w:rPr>
          <w:t xml:space="preserve"> of feature group 29-1</w:t>
        </w:r>
        <w:r w:rsidR="0007635D" w:rsidRPr="00932698">
          <w:rPr>
            <w:rStyle w:val="af"/>
            <w:rFonts w:eastAsia="宋体"/>
            <w:noProof/>
          </w:rPr>
          <w:t xml:space="preserve"> is per UE.</w:t>
        </w:r>
      </w:hyperlink>
    </w:p>
    <w:p w:rsidR="0007635D" w:rsidRDefault="00165D93" w:rsidP="0007635D">
      <w:pPr>
        <w:pStyle w:val="10"/>
        <w:jc w:val="both"/>
        <w:rPr>
          <w:rFonts w:asciiTheme="minorHAnsi" w:hAnsiTheme="minorHAnsi" w:cstheme="minorBidi"/>
          <w:b w:val="0"/>
          <w:bCs w:val="0"/>
          <w:noProof/>
          <w:sz w:val="21"/>
          <w:szCs w:val="22"/>
        </w:rPr>
      </w:pPr>
      <w:hyperlink w:anchor="_Toc92808674" w:history="1">
        <w:r w:rsidR="0007635D" w:rsidRPr="00932698">
          <w:rPr>
            <w:rStyle w:val="af"/>
            <w:rFonts w:eastAsia="宋体"/>
            <w:noProof/>
          </w:rPr>
          <w:t>Proposal 2:</w:t>
        </w:r>
        <w:r w:rsidR="0007635D">
          <w:rPr>
            <w:rFonts w:asciiTheme="minorHAnsi" w:hAnsiTheme="minorHAnsi" w:cstheme="minorBidi"/>
            <w:b w:val="0"/>
            <w:bCs w:val="0"/>
            <w:noProof/>
            <w:sz w:val="21"/>
            <w:szCs w:val="22"/>
          </w:rPr>
          <w:tab/>
        </w:r>
        <w:r w:rsidR="0007635D" w:rsidRPr="00932698">
          <w:rPr>
            <w:rStyle w:val="af"/>
            <w:rFonts w:eastAsia="宋体"/>
            <w:noProof/>
          </w:rPr>
          <w:t>I</w:t>
        </w:r>
        <w:r w:rsidR="0007635D" w:rsidRPr="00932698">
          <w:rPr>
            <w:rStyle w:val="af"/>
            <w:rFonts w:ascii="Times" w:hAnsi="Times"/>
            <w:noProof/>
          </w:rPr>
          <w:t>t should be clarified that if UE doesn’t support FG 29-1, whether UE can detect DCI format 2-7 for TRS availability indication or not.</w:t>
        </w:r>
      </w:hyperlink>
    </w:p>
    <w:p w:rsidR="0007635D" w:rsidRDefault="00165D93" w:rsidP="0007635D">
      <w:pPr>
        <w:pStyle w:val="10"/>
        <w:jc w:val="both"/>
        <w:rPr>
          <w:rFonts w:asciiTheme="minorHAnsi" w:hAnsiTheme="minorHAnsi" w:cstheme="minorBidi"/>
          <w:b w:val="0"/>
          <w:bCs w:val="0"/>
          <w:noProof/>
          <w:sz w:val="21"/>
          <w:szCs w:val="22"/>
        </w:rPr>
      </w:pPr>
      <w:hyperlink w:anchor="_Toc92808675" w:history="1">
        <w:r w:rsidR="0007635D" w:rsidRPr="00932698">
          <w:rPr>
            <w:rStyle w:val="af"/>
            <w:rFonts w:eastAsia="宋体"/>
            <w:noProof/>
          </w:rPr>
          <w:t>Proposal 3:</w:t>
        </w:r>
        <w:r w:rsidR="0007635D">
          <w:rPr>
            <w:rFonts w:asciiTheme="minorHAnsi" w:hAnsiTheme="minorHAnsi" w:cstheme="minorBidi"/>
            <w:b w:val="0"/>
            <w:bCs w:val="0"/>
            <w:noProof/>
            <w:sz w:val="21"/>
            <w:szCs w:val="22"/>
          </w:rPr>
          <w:tab/>
        </w:r>
        <w:r w:rsidR="0007635D" w:rsidRPr="00932698">
          <w:rPr>
            <w:rStyle w:val="af"/>
            <w:rFonts w:eastAsia="宋体"/>
            <w:noProof/>
          </w:rPr>
          <w:t>The capability type</w:t>
        </w:r>
        <w:r w:rsidR="0007635D" w:rsidRPr="00932698">
          <w:rPr>
            <w:rStyle w:val="af"/>
            <w:noProof/>
          </w:rPr>
          <w:t xml:space="preserve"> of feature group 29-2</w:t>
        </w:r>
        <w:r w:rsidR="0007635D" w:rsidRPr="00932698">
          <w:rPr>
            <w:rStyle w:val="af"/>
            <w:rFonts w:eastAsia="宋体"/>
            <w:noProof/>
          </w:rPr>
          <w:t xml:space="preserve"> is per UE.</w:t>
        </w:r>
      </w:hyperlink>
    </w:p>
    <w:p w:rsidR="0007635D" w:rsidRDefault="00165D93" w:rsidP="0007635D">
      <w:pPr>
        <w:pStyle w:val="10"/>
        <w:jc w:val="both"/>
        <w:rPr>
          <w:rFonts w:asciiTheme="minorHAnsi" w:hAnsiTheme="minorHAnsi" w:cstheme="minorBidi"/>
          <w:b w:val="0"/>
          <w:bCs w:val="0"/>
          <w:noProof/>
          <w:sz w:val="21"/>
          <w:szCs w:val="22"/>
        </w:rPr>
      </w:pPr>
      <w:hyperlink w:anchor="_Toc92808676" w:history="1">
        <w:r w:rsidR="0007635D" w:rsidRPr="00932698">
          <w:rPr>
            <w:rStyle w:val="af"/>
            <w:rFonts w:eastAsia="宋体"/>
            <w:noProof/>
          </w:rPr>
          <w:t>Proposal 4:</w:t>
        </w:r>
        <w:r w:rsidR="0007635D">
          <w:rPr>
            <w:rFonts w:asciiTheme="minorHAnsi" w:hAnsiTheme="minorHAnsi" w:cstheme="minorBidi"/>
            <w:b w:val="0"/>
            <w:bCs w:val="0"/>
            <w:noProof/>
            <w:sz w:val="21"/>
            <w:szCs w:val="22"/>
          </w:rPr>
          <w:tab/>
        </w:r>
        <w:r w:rsidR="0007635D" w:rsidRPr="00932698">
          <w:rPr>
            <w:rStyle w:val="af"/>
            <w:noProof/>
          </w:rPr>
          <w:t>The indication of FG 29-3c can be incorporated into FG 29-3b.</w:t>
        </w:r>
      </w:hyperlink>
    </w:p>
    <w:p w:rsidR="0007635D" w:rsidRDefault="00165D93" w:rsidP="0007635D">
      <w:pPr>
        <w:pStyle w:val="10"/>
        <w:jc w:val="both"/>
        <w:rPr>
          <w:rFonts w:asciiTheme="minorHAnsi" w:hAnsiTheme="minorHAnsi" w:cstheme="minorBidi"/>
          <w:b w:val="0"/>
          <w:bCs w:val="0"/>
          <w:noProof/>
          <w:sz w:val="21"/>
          <w:szCs w:val="22"/>
        </w:rPr>
      </w:pPr>
      <w:hyperlink w:anchor="_Toc92808677" w:history="1">
        <w:r w:rsidR="0007635D" w:rsidRPr="00932698">
          <w:rPr>
            <w:rStyle w:val="af"/>
            <w:rFonts w:eastAsia="宋体"/>
            <w:noProof/>
          </w:rPr>
          <w:t>Proposal 5:</w:t>
        </w:r>
        <w:r w:rsidR="0007635D">
          <w:rPr>
            <w:rFonts w:asciiTheme="minorHAnsi" w:hAnsiTheme="minorHAnsi" w:cstheme="minorBidi"/>
            <w:b w:val="0"/>
            <w:bCs w:val="0"/>
            <w:noProof/>
            <w:sz w:val="21"/>
            <w:szCs w:val="22"/>
          </w:rPr>
          <w:tab/>
        </w:r>
        <w:r w:rsidR="0007635D" w:rsidRPr="00932698">
          <w:rPr>
            <w:rStyle w:val="af"/>
            <w:noProof/>
          </w:rPr>
          <w:t xml:space="preserve">Update FG 29-3b as </w:t>
        </w:r>
        <w:r w:rsidR="0007635D" w:rsidRPr="00932698">
          <w:rPr>
            <w:rStyle w:val="af"/>
            <w:rFonts w:eastAsia="宋体"/>
            <w:noProof/>
          </w:rPr>
          <w:t>“Support of search space set group switching”</w:t>
        </w:r>
      </w:hyperlink>
    </w:p>
    <w:p w:rsidR="0007635D" w:rsidRDefault="00165D93" w:rsidP="0007635D">
      <w:pPr>
        <w:pStyle w:val="10"/>
        <w:jc w:val="both"/>
        <w:rPr>
          <w:rFonts w:asciiTheme="minorHAnsi" w:hAnsiTheme="minorHAnsi" w:cstheme="minorBidi"/>
          <w:b w:val="0"/>
          <w:bCs w:val="0"/>
          <w:noProof/>
          <w:sz w:val="21"/>
          <w:szCs w:val="22"/>
        </w:rPr>
      </w:pPr>
      <w:hyperlink w:anchor="_Toc92808678" w:history="1">
        <w:r w:rsidR="0007635D" w:rsidRPr="00932698">
          <w:rPr>
            <w:rStyle w:val="af"/>
            <w:rFonts w:eastAsia="宋体"/>
            <w:noProof/>
          </w:rPr>
          <w:t>Proposal 6:</w:t>
        </w:r>
        <w:r w:rsidR="0007635D">
          <w:rPr>
            <w:rFonts w:asciiTheme="minorHAnsi" w:hAnsiTheme="minorHAnsi" w:cstheme="minorBidi"/>
            <w:b w:val="0"/>
            <w:bCs w:val="0"/>
            <w:noProof/>
            <w:sz w:val="21"/>
            <w:szCs w:val="22"/>
          </w:rPr>
          <w:tab/>
        </w:r>
        <w:r w:rsidR="0007635D" w:rsidRPr="00932698">
          <w:rPr>
            <w:rStyle w:val="af"/>
            <w:noProof/>
          </w:rPr>
          <w:t xml:space="preserve">As to FG 29-3, </w:t>
        </w:r>
        <w:r w:rsidR="0007635D" w:rsidRPr="00932698">
          <w:rPr>
            <w:rStyle w:val="af"/>
            <w:rFonts w:eastAsia="宋体"/>
            <w:noProof/>
          </w:rPr>
          <w:t>the capability type should be per UE</w:t>
        </w:r>
      </w:hyperlink>
    </w:p>
    <w:p w:rsidR="00C57017" w:rsidRDefault="0099291D" w:rsidP="0007635D">
      <w:pPr>
        <w:spacing w:before="120" w:after="120"/>
      </w:pPr>
      <w:r>
        <w:fldChar w:fldCharType="end"/>
      </w:r>
    </w:p>
    <w:p w:rsidR="00C57017" w:rsidRDefault="0099291D">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rsidR="00C57017" w:rsidRDefault="0099291D">
      <w:pPr>
        <w:pStyle w:val="af1"/>
        <w:numPr>
          <w:ilvl w:val="0"/>
          <w:numId w:val="10"/>
        </w:numPr>
        <w:spacing w:before="120" w:after="120" w:line="260" w:lineRule="auto"/>
        <w:jc w:val="left"/>
        <w:rPr>
          <w:sz w:val="21"/>
          <w:szCs w:val="21"/>
        </w:rPr>
      </w:pPr>
      <w:r>
        <w:rPr>
          <w:sz w:val="21"/>
          <w:szCs w:val="21"/>
        </w:rPr>
        <w:t>Draft_Minutes_report_RAN1#106</w:t>
      </w:r>
    </w:p>
    <w:p w:rsidR="00C57017" w:rsidRDefault="0099291D">
      <w:pPr>
        <w:pStyle w:val="af1"/>
        <w:numPr>
          <w:ilvl w:val="0"/>
          <w:numId w:val="10"/>
        </w:numPr>
        <w:spacing w:before="120" w:after="120" w:line="260" w:lineRule="auto"/>
        <w:jc w:val="left"/>
        <w:rPr>
          <w:sz w:val="21"/>
          <w:szCs w:val="21"/>
        </w:rPr>
      </w:pPr>
      <w:r>
        <w:rPr>
          <w:sz w:val="21"/>
          <w:szCs w:val="21"/>
        </w:rPr>
        <w:t xml:space="preserve">Draft_Minutes_report_RAN1#107 </w:t>
      </w:r>
    </w:p>
    <w:p w:rsidR="00C57017" w:rsidRDefault="0099291D">
      <w:pPr>
        <w:pStyle w:val="af1"/>
        <w:numPr>
          <w:ilvl w:val="0"/>
          <w:numId w:val="10"/>
        </w:numPr>
        <w:spacing w:before="120" w:after="120" w:line="260" w:lineRule="auto"/>
        <w:jc w:val="left"/>
        <w:rPr>
          <w:sz w:val="21"/>
          <w:szCs w:val="21"/>
        </w:rPr>
      </w:pPr>
      <w:r>
        <w:rPr>
          <w:sz w:val="21"/>
          <w:szCs w:val="21"/>
        </w:rPr>
        <w:t xml:space="preserve">R1-2112139. Summary on UE features for UE power saving enhancements. </w:t>
      </w:r>
    </w:p>
    <w:p w:rsidR="0007635D" w:rsidRDefault="0007635D" w:rsidP="0007635D">
      <w:pPr>
        <w:pStyle w:val="af1"/>
        <w:numPr>
          <w:ilvl w:val="0"/>
          <w:numId w:val="10"/>
        </w:numPr>
        <w:spacing w:before="120" w:after="120" w:line="260" w:lineRule="auto"/>
        <w:jc w:val="left"/>
        <w:rPr>
          <w:sz w:val="21"/>
          <w:szCs w:val="21"/>
        </w:rPr>
      </w:pPr>
      <w:r w:rsidRPr="0007635D">
        <w:rPr>
          <w:sz w:val="21"/>
          <w:szCs w:val="21"/>
        </w:rPr>
        <w:t>3821</w:t>
      </w:r>
      <w:r>
        <w:rPr>
          <w:sz w:val="21"/>
          <w:szCs w:val="21"/>
        </w:rPr>
        <w:t>2</w:t>
      </w:r>
      <w:r w:rsidRPr="0007635D">
        <w:rPr>
          <w:sz w:val="21"/>
          <w:szCs w:val="21"/>
        </w:rPr>
        <w:t>-h00</w:t>
      </w:r>
    </w:p>
    <w:p w:rsidR="00C57017" w:rsidRDefault="0099291D">
      <w:pPr>
        <w:spacing w:beforeLines="0" w:before="0" w:afterLines="0" w:after="160"/>
        <w:jc w:val="left"/>
      </w:pPr>
      <w:r>
        <w:br w:type="page"/>
      </w:r>
    </w:p>
    <w:p w:rsidR="00C57017" w:rsidRDefault="00C57017">
      <w:pPr>
        <w:spacing w:beforeLines="0" w:afterLines="0"/>
        <w:jc w:val="left"/>
        <w:sectPr w:rsidR="00C57017">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pPr>
    </w:p>
    <w:p w:rsidR="00C57017" w:rsidRDefault="0099291D">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lastRenderedPageBreak/>
        <w:t>Appendix</w:t>
      </w:r>
    </w:p>
    <w:p w:rsidR="00C57017" w:rsidRDefault="0099291D">
      <w:pPr>
        <w:pStyle w:val="2"/>
        <w:numPr>
          <w:ilvl w:val="0"/>
          <w:numId w:val="8"/>
        </w:numPr>
        <w:spacing w:before="120" w:after="120" w:line="260" w:lineRule="auto"/>
        <w:ind w:right="210"/>
        <w:rPr>
          <w:rFonts w:ascii="Times New Roman" w:eastAsia="宋体" w:hAnsi="Times New Roman"/>
          <w:b/>
          <w:bCs/>
          <w:sz w:val="22"/>
          <w:szCs w:val="22"/>
        </w:rPr>
      </w:pPr>
      <w:r>
        <w:rPr>
          <w:rFonts w:ascii="Times New Roman" w:eastAsia="宋体" w:hAnsi="Times New Roman"/>
          <w:b/>
          <w:bCs/>
          <w:sz w:val="22"/>
          <w:szCs w:val="22"/>
        </w:rPr>
        <w:t>Agreements in RAN1#106</w:t>
      </w:r>
    </w:p>
    <w:p w:rsidR="00C57017" w:rsidRPr="0007635D" w:rsidRDefault="0099291D" w:rsidP="0007635D">
      <w:pPr>
        <w:spacing w:before="120" w:after="120"/>
        <w:rPr>
          <w:b/>
          <w:bCs/>
          <w:highlight w:val="green"/>
        </w:rPr>
      </w:pPr>
      <w:r w:rsidRPr="0007635D">
        <w:rPr>
          <w:b/>
          <w:bCs/>
          <w:highlight w:val="green"/>
        </w:rPr>
        <w:t>Agreement</w:t>
      </w:r>
    </w:p>
    <w:p w:rsidR="00C57017" w:rsidRDefault="0099291D">
      <w:pPr>
        <w:spacing w:before="120" w:after="120"/>
        <w:rPr>
          <w:rFonts w:eastAsia="MS Gothic"/>
          <w:szCs w:val="21"/>
        </w:rPr>
      </w:pPr>
      <w:r>
        <w:t>FG 29-2 is kept as “TRS resources for idle/inactive UEs” as follows.</w:t>
      </w:r>
    </w:p>
    <w:tbl>
      <w:tblPr>
        <w:tblW w:w="5000" w:type="pct"/>
        <w:tblCellMar>
          <w:left w:w="0" w:type="dxa"/>
          <w:right w:w="0" w:type="dxa"/>
        </w:tblCellMar>
        <w:tblLook w:val="04A0" w:firstRow="1" w:lastRow="0" w:firstColumn="1" w:lastColumn="0" w:noHBand="0" w:noVBand="1"/>
      </w:tblPr>
      <w:tblGrid>
        <w:gridCol w:w="2201"/>
        <w:gridCol w:w="712"/>
        <w:gridCol w:w="1388"/>
        <w:gridCol w:w="5652"/>
        <w:gridCol w:w="1079"/>
        <w:gridCol w:w="719"/>
        <w:gridCol w:w="702"/>
        <w:gridCol w:w="1590"/>
        <w:gridCol w:w="1096"/>
        <w:gridCol w:w="833"/>
        <w:gridCol w:w="838"/>
        <w:gridCol w:w="833"/>
        <w:gridCol w:w="2327"/>
        <w:gridCol w:w="1180"/>
      </w:tblGrid>
      <w:tr w:rsidR="00C57017">
        <w:trPr>
          <w:trHeight w:val="20"/>
        </w:trPr>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57017" w:rsidRDefault="0099291D">
            <w:pPr>
              <w:keepNext/>
              <w:spacing w:before="120" w:after="120"/>
              <w:rPr>
                <w:sz w:val="18"/>
                <w:szCs w:val="18"/>
              </w:rPr>
            </w:pPr>
            <w:r>
              <w:rPr>
                <w:sz w:val="18"/>
                <w:szCs w:val="18"/>
              </w:rPr>
              <w:t>29. NR_UE_pow_sav_enh</w:t>
            </w:r>
          </w:p>
        </w:tc>
        <w:tc>
          <w:tcPr>
            <w:tcW w:w="1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57017" w:rsidRDefault="0099291D">
            <w:pPr>
              <w:keepNext/>
              <w:spacing w:before="120" w:after="120"/>
              <w:rPr>
                <w:sz w:val="18"/>
                <w:szCs w:val="18"/>
              </w:rPr>
            </w:pPr>
            <w:r>
              <w:rPr>
                <w:sz w:val="18"/>
                <w:szCs w:val="18"/>
              </w:rPr>
              <w:t>29-2</w:t>
            </w: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57017" w:rsidRDefault="0099291D">
            <w:pPr>
              <w:keepNext/>
              <w:spacing w:before="120" w:after="120"/>
              <w:rPr>
                <w:sz w:val="18"/>
                <w:szCs w:val="18"/>
              </w:rPr>
            </w:pPr>
            <w:r>
              <w:rPr>
                <w:sz w:val="18"/>
                <w:szCs w:val="18"/>
              </w:rPr>
              <w:t>TRS resources for idle/inactive UEs</w:t>
            </w:r>
          </w:p>
        </w:tc>
        <w:tc>
          <w:tcPr>
            <w:tcW w:w="133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C57017" w:rsidRDefault="0099291D">
            <w:pPr>
              <w:autoSpaceDE w:val="0"/>
              <w:autoSpaceDN w:val="0"/>
              <w:snapToGrid w:val="0"/>
              <w:spacing w:before="120" w:after="120"/>
              <w:ind w:left="360" w:hanging="360"/>
              <w:contextualSpacing/>
              <w:rPr>
                <w:sz w:val="18"/>
                <w:szCs w:val="18"/>
              </w:rPr>
            </w:pPr>
            <w:r>
              <w:rPr>
                <w:color w:val="000000"/>
                <w:sz w:val="18"/>
                <w:szCs w:val="18"/>
              </w:rPr>
              <w:t xml:space="preserve">TRS receiving for idle/inactive UEs </w:t>
            </w:r>
          </w:p>
          <w:p w:rsidR="00C57017" w:rsidRDefault="0099291D">
            <w:pPr>
              <w:autoSpaceDE w:val="0"/>
              <w:autoSpaceDN w:val="0"/>
              <w:snapToGrid w:val="0"/>
              <w:spacing w:before="120" w:after="120"/>
              <w:ind w:left="360" w:hanging="360"/>
              <w:contextualSpacing/>
              <w:rPr>
                <w:sz w:val="18"/>
                <w:szCs w:val="18"/>
              </w:rPr>
            </w:pPr>
            <w:r>
              <w:rPr>
                <w:color w:val="000000"/>
                <w:sz w:val="18"/>
                <w:szCs w:val="18"/>
              </w:rPr>
              <w:t>1. Support reading TRS configuration from SIB</w:t>
            </w:r>
          </w:p>
          <w:p w:rsidR="00C57017" w:rsidRDefault="0099291D">
            <w:pPr>
              <w:autoSpaceDE w:val="0"/>
              <w:autoSpaceDN w:val="0"/>
              <w:snapToGrid w:val="0"/>
              <w:spacing w:before="120" w:after="120"/>
              <w:ind w:left="360" w:hanging="360"/>
              <w:contextualSpacing/>
              <w:rPr>
                <w:sz w:val="18"/>
                <w:szCs w:val="18"/>
              </w:rPr>
            </w:pPr>
            <w:r>
              <w:rPr>
                <w:color w:val="000000"/>
                <w:sz w:val="18"/>
                <w:szCs w:val="18"/>
              </w:rPr>
              <w:t>2. Support receiving L1 indication for TRS availability</w:t>
            </w:r>
          </w:p>
          <w:p w:rsidR="00C57017" w:rsidRDefault="0099291D">
            <w:pPr>
              <w:autoSpaceDE w:val="0"/>
              <w:autoSpaceDN w:val="0"/>
              <w:snapToGrid w:val="0"/>
              <w:spacing w:before="120" w:after="120"/>
              <w:ind w:left="360" w:hanging="360"/>
              <w:contextualSpacing/>
              <w:rPr>
                <w:sz w:val="18"/>
                <w:szCs w:val="18"/>
              </w:rPr>
            </w:pPr>
            <w:r>
              <w:rPr>
                <w:color w:val="FF0000"/>
                <w:sz w:val="18"/>
                <w:szCs w:val="18"/>
              </w:rPr>
              <w:t>FFS whether to separate the capability for receiving L1 indication for TRS availability</w:t>
            </w:r>
          </w:p>
        </w:tc>
        <w:tc>
          <w:tcPr>
            <w:tcW w:w="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57017" w:rsidRDefault="00C57017">
            <w:pPr>
              <w:keepNext/>
              <w:spacing w:before="120" w:after="120"/>
              <w:rPr>
                <w:sz w:val="18"/>
                <w:szCs w:val="18"/>
              </w:rPr>
            </w:pPr>
          </w:p>
        </w:tc>
        <w:tc>
          <w:tcPr>
            <w:tcW w:w="17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C57017" w:rsidRDefault="0099291D">
            <w:pPr>
              <w:keepNext/>
              <w:spacing w:before="120" w:after="120"/>
              <w:rPr>
                <w:sz w:val="18"/>
                <w:szCs w:val="18"/>
              </w:rPr>
            </w:pPr>
            <w:r>
              <w:rPr>
                <w:color w:val="000000"/>
                <w:sz w:val="18"/>
                <w:szCs w:val="18"/>
              </w:rPr>
              <w:t>N</w:t>
            </w: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57017" w:rsidRDefault="00C57017">
            <w:pPr>
              <w:keepNext/>
              <w:spacing w:before="120" w:after="120"/>
              <w:rPr>
                <w:sz w:val="18"/>
                <w:szCs w:val="18"/>
              </w:rPr>
            </w:pPr>
          </w:p>
        </w:tc>
        <w:tc>
          <w:tcPr>
            <w:tcW w:w="37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C57017" w:rsidRDefault="0099291D">
            <w:pPr>
              <w:keepNext/>
              <w:spacing w:before="120" w:after="120"/>
              <w:rPr>
                <w:sz w:val="18"/>
                <w:szCs w:val="18"/>
              </w:rPr>
            </w:pPr>
            <w:r>
              <w:rPr>
                <w:color w:val="000000"/>
                <w:sz w:val="18"/>
                <w:szCs w:val="18"/>
              </w:rPr>
              <w:t>Lose of power saving gain on AGC, time/frequency tracking in idle/inactive mode</w:t>
            </w:r>
          </w:p>
        </w:tc>
        <w:tc>
          <w:tcPr>
            <w:tcW w:w="25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C57017" w:rsidRDefault="0099291D">
            <w:pPr>
              <w:keepNext/>
              <w:spacing w:before="120" w:after="120"/>
              <w:rPr>
                <w:sz w:val="18"/>
                <w:szCs w:val="18"/>
              </w:rPr>
            </w:pPr>
            <w:r>
              <w:rPr>
                <w:color w:val="000000"/>
                <w:sz w:val="18"/>
                <w:szCs w:val="18"/>
              </w:rPr>
              <w:t>Per UE</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C57017" w:rsidRDefault="0099291D">
            <w:pPr>
              <w:keepNext/>
              <w:spacing w:before="120" w:after="120"/>
              <w:rPr>
                <w:sz w:val="18"/>
                <w:szCs w:val="18"/>
              </w:rPr>
            </w:pPr>
            <w:r>
              <w:rPr>
                <w:color w:val="000000"/>
                <w:sz w:val="18"/>
                <w:szCs w:val="18"/>
              </w:rPr>
              <w:t>N</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C57017" w:rsidRDefault="0099291D">
            <w:pPr>
              <w:keepNext/>
              <w:spacing w:before="120" w:after="120"/>
              <w:rPr>
                <w:sz w:val="18"/>
                <w:szCs w:val="18"/>
              </w:rPr>
            </w:pPr>
            <w:r>
              <w:rPr>
                <w:color w:val="000000"/>
                <w:sz w:val="18"/>
                <w:szCs w:val="18"/>
              </w:rPr>
              <w:t>N</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C57017" w:rsidRDefault="0099291D">
            <w:pPr>
              <w:keepNext/>
              <w:spacing w:before="120" w:after="120"/>
              <w:rPr>
                <w:sz w:val="18"/>
                <w:szCs w:val="18"/>
              </w:rPr>
            </w:pPr>
            <w:r>
              <w:rPr>
                <w:color w:val="000000"/>
                <w:sz w:val="18"/>
                <w:szCs w:val="18"/>
              </w:rPr>
              <w:t>N</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57017" w:rsidRDefault="00C57017">
            <w:pPr>
              <w:keepNext/>
              <w:spacing w:before="120" w:after="120"/>
              <w:rPr>
                <w:sz w:val="18"/>
                <w:szCs w:val="18"/>
              </w:rPr>
            </w:pPr>
          </w:p>
        </w:tc>
        <w:tc>
          <w:tcPr>
            <w:tcW w:w="2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C57017" w:rsidRDefault="0099291D">
            <w:pPr>
              <w:keepNext/>
              <w:spacing w:before="120" w:after="120"/>
              <w:rPr>
                <w:sz w:val="18"/>
                <w:szCs w:val="18"/>
              </w:rPr>
            </w:pPr>
            <w:r>
              <w:rPr>
                <w:color w:val="000000"/>
                <w:sz w:val="18"/>
                <w:szCs w:val="18"/>
              </w:rPr>
              <w:t>Optional without capability signalling</w:t>
            </w:r>
          </w:p>
        </w:tc>
      </w:tr>
    </w:tbl>
    <w:p w:rsidR="00C57017" w:rsidRDefault="0099291D">
      <w:pPr>
        <w:spacing w:before="120" w:after="120"/>
        <w:rPr>
          <w:rFonts w:eastAsia="Yu Gothic"/>
          <w:sz w:val="24"/>
          <w:szCs w:val="24"/>
        </w:rPr>
      </w:pPr>
      <w:r>
        <w:rPr>
          <w:rFonts w:eastAsia="Yu Gothic"/>
        </w:rPr>
        <w:t>Note that yellow highlight means FFS and to be discussed further. These parts are provides as placeholders.</w:t>
      </w:r>
    </w:p>
    <w:p w:rsidR="00C57017" w:rsidRDefault="0099291D">
      <w:pPr>
        <w:spacing w:before="120" w:after="120"/>
        <w:rPr>
          <w:rFonts w:eastAsia="MS Gothic"/>
          <w:sz w:val="22"/>
          <w:szCs w:val="22"/>
        </w:rPr>
      </w:pPr>
      <w:r>
        <w:rPr>
          <w:sz w:val="22"/>
          <w:szCs w:val="22"/>
        </w:rPr>
        <w:t xml:space="preserve"> </w:t>
      </w:r>
    </w:p>
    <w:p w:rsidR="00C57017" w:rsidRDefault="0099291D">
      <w:pPr>
        <w:spacing w:before="120" w:after="120"/>
        <w:rPr>
          <w:b/>
          <w:bCs/>
          <w:sz w:val="24"/>
          <w:szCs w:val="24"/>
        </w:rPr>
      </w:pPr>
      <w:r>
        <w:rPr>
          <w:b/>
          <w:bCs/>
          <w:highlight w:val="green"/>
        </w:rPr>
        <w:t>Agreement</w:t>
      </w:r>
    </w:p>
    <w:p w:rsidR="00C57017" w:rsidRDefault="0099291D">
      <w:pPr>
        <w:spacing w:before="120" w:after="120"/>
        <w:rPr>
          <w:rFonts w:eastAsia="MS PGothic"/>
          <w:color w:val="000000"/>
          <w:szCs w:val="21"/>
        </w:rPr>
      </w:pPr>
      <w:r>
        <w:t xml:space="preserve">FG 29-1 is kept </w:t>
      </w:r>
      <w:r>
        <w:rPr>
          <w:color w:val="FF0000"/>
        </w:rPr>
        <w:t>as placeholder</w:t>
      </w:r>
      <w:r>
        <w:t xml:space="preserve"> as “Paging enhancement”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657"/>
        <w:gridCol w:w="1456"/>
        <w:gridCol w:w="5681"/>
        <w:gridCol w:w="1138"/>
        <w:gridCol w:w="778"/>
        <w:gridCol w:w="766"/>
        <w:gridCol w:w="1328"/>
        <w:gridCol w:w="1155"/>
        <w:gridCol w:w="897"/>
        <w:gridCol w:w="897"/>
        <w:gridCol w:w="893"/>
        <w:gridCol w:w="2394"/>
        <w:gridCol w:w="1184"/>
      </w:tblGrid>
      <w:tr w:rsidR="00C57017">
        <w:trPr>
          <w:trHeight w:val="20"/>
        </w:trPr>
        <w:tc>
          <w:tcPr>
            <w:tcW w:w="455" w:type="pct"/>
            <w:tcBorders>
              <w:top w:val="single" w:sz="4" w:space="0" w:color="auto"/>
              <w:left w:val="single" w:sz="4" w:space="0" w:color="auto"/>
              <w:bottom w:val="single" w:sz="4" w:space="0" w:color="auto"/>
              <w:right w:val="single" w:sz="4" w:space="0" w:color="auto"/>
            </w:tcBorders>
            <w:shd w:val="clear" w:color="auto" w:fill="FFFF00"/>
          </w:tcPr>
          <w:p w:rsidR="00C57017" w:rsidRDefault="0099291D">
            <w:pPr>
              <w:pStyle w:val="TAL"/>
              <w:spacing w:before="120" w:after="120"/>
              <w:rPr>
                <w:rFonts w:ascii="Times New Roman" w:eastAsia="MS Mincho" w:hAnsi="Times New Roman"/>
              </w:rPr>
            </w:pPr>
            <w:r>
              <w:rPr>
                <w:rFonts w:ascii="Times New Roman" w:hAnsi="Times New Roman"/>
              </w:rPr>
              <w:t>29. NR_UE_pow_sav_enh</w:t>
            </w:r>
          </w:p>
        </w:tc>
        <w:tc>
          <w:tcPr>
            <w:tcW w:w="155"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rPr>
            </w:pPr>
            <w:r>
              <w:rPr>
                <w:rFonts w:ascii="Times New Roman" w:hAnsi="Times New Roman"/>
              </w:rPr>
              <w:t>29-1</w:t>
            </w:r>
          </w:p>
        </w:tc>
        <w:tc>
          <w:tcPr>
            <w:tcW w:w="344"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rPr>
            </w:pPr>
            <w:r>
              <w:rPr>
                <w:rFonts w:ascii="Times New Roman" w:hAnsi="Times New Roman"/>
              </w:rPr>
              <w:t>Paging enhancement</w:t>
            </w:r>
            <w:r>
              <w:rPr>
                <w:rFonts w:ascii="Times New Roman" w:hAnsi="Times New Roman"/>
              </w:rPr>
              <w:tab/>
            </w:r>
          </w:p>
          <w:p w:rsidR="00C57017" w:rsidRDefault="0099291D">
            <w:pPr>
              <w:pStyle w:val="TAL"/>
              <w:spacing w:before="120" w:after="120"/>
              <w:rPr>
                <w:rFonts w:ascii="Times New Roman" w:hAnsi="Times New Roman"/>
              </w:rPr>
            </w:pPr>
            <w:r>
              <w:rPr>
                <w:rFonts w:ascii="Times New Roman" w:hAnsi="Times New Roman"/>
              </w:rPr>
              <w:tab/>
            </w:r>
          </w:p>
        </w:tc>
        <w:tc>
          <w:tcPr>
            <w:tcW w:w="1343" w:type="pct"/>
            <w:tcBorders>
              <w:top w:val="single" w:sz="4" w:space="0" w:color="auto"/>
              <w:left w:val="nil"/>
              <w:bottom w:val="single" w:sz="4" w:space="0" w:color="auto"/>
              <w:right w:val="single" w:sz="4" w:space="0" w:color="auto"/>
            </w:tcBorders>
            <w:shd w:val="clear" w:color="auto" w:fill="FFFF00"/>
          </w:tcPr>
          <w:p w:rsidR="00C57017" w:rsidRDefault="0099291D">
            <w:pPr>
              <w:autoSpaceDE w:val="0"/>
              <w:autoSpaceDN w:val="0"/>
              <w:adjustRightInd w:val="0"/>
              <w:snapToGrid w:val="0"/>
              <w:spacing w:before="120" w:after="120"/>
              <w:contextualSpacing/>
              <w:rPr>
                <w:rFonts w:eastAsia="MS Gothic"/>
                <w:sz w:val="18"/>
                <w:szCs w:val="18"/>
              </w:rPr>
            </w:pPr>
            <w:r>
              <w:rPr>
                <w:sz w:val="18"/>
                <w:szCs w:val="18"/>
              </w:rPr>
              <w:t>1. Support paging early indication</w:t>
            </w:r>
          </w:p>
          <w:p w:rsidR="00C57017" w:rsidRDefault="0099291D">
            <w:pPr>
              <w:autoSpaceDE w:val="0"/>
              <w:autoSpaceDN w:val="0"/>
              <w:adjustRightInd w:val="0"/>
              <w:snapToGrid w:val="0"/>
              <w:spacing w:before="120" w:after="120"/>
              <w:contextualSpacing/>
              <w:rPr>
                <w:sz w:val="18"/>
                <w:szCs w:val="18"/>
              </w:rPr>
            </w:pPr>
            <w:r>
              <w:rPr>
                <w:sz w:val="18"/>
                <w:szCs w:val="18"/>
              </w:rPr>
              <w:t>2. Support UE subgroup indication</w:t>
            </w:r>
          </w:p>
          <w:p w:rsidR="00C57017" w:rsidRDefault="00C57017">
            <w:pPr>
              <w:autoSpaceDE w:val="0"/>
              <w:autoSpaceDN w:val="0"/>
              <w:adjustRightInd w:val="0"/>
              <w:snapToGrid w:val="0"/>
              <w:spacing w:before="120" w:after="120"/>
              <w:contextualSpacing/>
              <w:rPr>
                <w:sz w:val="18"/>
                <w:szCs w:val="18"/>
              </w:rPr>
            </w:pPr>
          </w:p>
        </w:tc>
        <w:tc>
          <w:tcPr>
            <w:tcW w:w="269" w:type="pct"/>
            <w:tcBorders>
              <w:top w:val="single" w:sz="4" w:space="0" w:color="auto"/>
              <w:left w:val="nil"/>
              <w:bottom w:val="single" w:sz="4" w:space="0" w:color="auto"/>
              <w:right w:val="single" w:sz="4" w:space="0" w:color="auto"/>
            </w:tcBorders>
            <w:shd w:val="clear" w:color="auto" w:fill="FFFF00"/>
          </w:tcPr>
          <w:p w:rsidR="00C57017" w:rsidRDefault="00C57017">
            <w:pPr>
              <w:pStyle w:val="TAL"/>
              <w:spacing w:before="120" w:after="120"/>
              <w:rPr>
                <w:rFonts w:ascii="Times New Roman" w:hAnsi="Times New Roman"/>
                <w:szCs w:val="18"/>
                <w:highlight w:val="yellow"/>
              </w:rPr>
            </w:pPr>
          </w:p>
        </w:tc>
        <w:tc>
          <w:tcPr>
            <w:tcW w:w="184"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rPr>
            </w:pPr>
            <w:r>
              <w:rPr>
                <w:rFonts w:ascii="Times New Roman" w:hAnsi="Times New Roman"/>
              </w:rPr>
              <w:t>N</w:t>
            </w:r>
          </w:p>
        </w:tc>
        <w:tc>
          <w:tcPr>
            <w:tcW w:w="181" w:type="pct"/>
            <w:tcBorders>
              <w:top w:val="single" w:sz="4" w:space="0" w:color="auto"/>
              <w:left w:val="nil"/>
              <w:bottom w:val="single" w:sz="4" w:space="0" w:color="auto"/>
              <w:right w:val="single" w:sz="4" w:space="0" w:color="auto"/>
            </w:tcBorders>
            <w:shd w:val="clear" w:color="auto" w:fill="FFFF00"/>
          </w:tcPr>
          <w:p w:rsidR="00C57017" w:rsidRDefault="00C57017">
            <w:pPr>
              <w:pStyle w:val="TAL"/>
              <w:spacing w:before="120" w:after="120"/>
              <w:rPr>
                <w:rFonts w:ascii="Times New Roman" w:eastAsia="MS Mincho" w:hAnsi="Times New Roman"/>
              </w:rPr>
            </w:pPr>
          </w:p>
        </w:tc>
        <w:tc>
          <w:tcPr>
            <w:tcW w:w="314"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rPr>
            </w:pPr>
            <w:r>
              <w:rPr>
                <w:rFonts w:ascii="Times New Roman" w:hAnsi="Times New Roman"/>
              </w:rPr>
              <w:t>High idle/inactive mode UE power consumption if NR SA networks</w:t>
            </w:r>
          </w:p>
        </w:tc>
        <w:tc>
          <w:tcPr>
            <w:tcW w:w="273"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rPr>
            </w:pPr>
            <w:r>
              <w:rPr>
                <w:rFonts w:ascii="Times New Roman" w:hAnsi="Times New Roman"/>
              </w:rPr>
              <w:t>Per UE</w:t>
            </w:r>
          </w:p>
        </w:tc>
        <w:tc>
          <w:tcPr>
            <w:tcW w:w="212"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eastAsia="MS Mincho" w:hAnsi="Times New Roman"/>
              </w:rPr>
            </w:pPr>
            <w:r>
              <w:rPr>
                <w:rFonts w:ascii="Times New Roman" w:hAnsi="Times New Roman"/>
              </w:rPr>
              <w:t>N</w:t>
            </w:r>
          </w:p>
        </w:tc>
        <w:tc>
          <w:tcPr>
            <w:tcW w:w="212"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rPr>
            </w:pPr>
            <w:r>
              <w:rPr>
                <w:rFonts w:ascii="Times New Roman" w:hAnsi="Times New Roman"/>
              </w:rPr>
              <w:t>N</w:t>
            </w:r>
          </w:p>
        </w:tc>
        <w:tc>
          <w:tcPr>
            <w:tcW w:w="211"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rPr>
            </w:pPr>
            <w:r>
              <w:rPr>
                <w:rFonts w:ascii="Times New Roman" w:hAnsi="Times New Roman"/>
              </w:rPr>
              <w:t>N</w:t>
            </w:r>
          </w:p>
        </w:tc>
        <w:tc>
          <w:tcPr>
            <w:tcW w:w="566"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rPr>
            </w:pPr>
            <w:r>
              <w:rPr>
                <w:rFonts w:ascii="Times New Roman" w:hAnsi="Times New Roman"/>
                <w:color w:val="FF0000"/>
              </w:rPr>
              <w:t>For component 2, it is up to RAN2 whether/how to separate the capability for UE subgroup indication</w:t>
            </w:r>
          </w:p>
        </w:tc>
        <w:tc>
          <w:tcPr>
            <w:tcW w:w="280"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rPr>
            </w:pPr>
            <w:r>
              <w:rPr>
                <w:rFonts w:ascii="Times New Roman" w:hAnsi="Times New Roman"/>
              </w:rPr>
              <w:t>Optional without capability signalling</w:t>
            </w:r>
          </w:p>
        </w:tc>
      </w:tr>
    </w:tbl>
    <w:p w:rsidR="00C57017" w:rsidRDefault="0099291D">
      <w:pPr>
        <w:spacing w:before="120" w:after="120"/>
        <w:rPr>
          <w:rFonts w:eastAsia="Yu Gothic"/>
          <w:szCs w:val="21"/>
        </w:rPr>
      </w:pPr>
      <w:r>
        <w:rPr>
          <w:rFonts w:eastAsia="Yu Gothic"/>
        </w:rPr>
        <w:t>Note that yellow highlight means FFS and to be discussed further. These parts are provides as placeholders.</w:t>
      </w:r>
    </w:p>
    <w:p w:rsidR="00C57017" w:rsidRDefault="0099291D">
      <w:pPr>
        <w:spacing w:before="120" w:after="120"/>
        <w:rPr>
          <w:rFonts w:eastAsia="MS Gothic"/>
          <w:sz w:val="22"/>
          <w:szCs w:val="22"/>
        </w:rPr>
      </w:pPr>
      <w:r>
        <w:rPr>
          <w:sz w:val="22"/>
          <w:szCs w:val="22"/>
        </w:rPr>
        <w:t xml:space="preserve"> </w:t>
      </w:r>
    </w:p>
    <w:p w:rsidR="00C57017" w:rsidRDefault="0099291D">
      <w:pPr>
        <w:pStyle w:val="2"/>
        <w:numPr>
          <w:ilvl w:val="0"/>
          <w:numId w:val="8"/>
        </w:numPr>
        <w:spacing w:before="120" w:after="120" w:line="260" w:lineRule="auto"/>
        <w:ind w:right="210"/>
        <w:rPr>
          <w:rFonts w:ascii="Times New Roman" w:eastAsia="宋体" w:hAnsi="Times New Roman"/>
          <w:b/>
          <w:bCs/>
          <w:sz w:val="22"/>
          <w:szCs w:val="22"/>
        </w:rPr>
      </w:pPr>
      <w:r>
        <w:rPr>
          <w:rFonts w:ascii="Times New Roman" w:eastAsia="宋体" w:hAnsi="Times New Roman"/>
          <w:b/>
          <w:bCs/>
          <w:sz w:val="22"/>
          <w:szCs w:val="22"/>
        </w:rPr>
        <w:t>Agreements in RAN1#107</w:t>
      </w:r>
    </w:p>
    <w:p w:rsidR="00C57017" w:rsidRDefault="0099291D">
      <w:pPr>
        <w:spacing w:before="120" w:after="120"/>
        <w:rPr>
          <w:b/>
          <w:bCs/>
          <w:kern w:val="0"/>
          <w:sz w:val="24"/>
        </w:rPr>
      </w:pPr>
      <w:r>
        <w:rPr>
          <w:b/>
          <w:bCs/>
          <w:highlight w:val="green"/>
        </w:rPr>
        <w:t>Agreement</w:t>
      </w:r>
    </w:p>
    <w:p w:rsidR="00C57017" w:rsidRDefault="0099291D">
      <w:pPr>
        <w:pStyle w:val="ListParagraph2"/>
        <w:numPr>
          <w:ilvl w:val="0"/>
          <w:numId w:val="11"/>
        </w:numPr>
        <w:spacing w:before="120" w:afterLines="50" w:after="120" w:afterAutospacing="0"/>
        <w:ind w:leftChars="0"/>
        <w:jc w:val="both"/>
      </w:pPr>
      <w:r>
        <w:t>FG 29-1 is kept as “Paging enhancement”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638"/>
        <w:gridCol w:w="1437"/>
        <w:gridCol w:w="5639"/>
        <w:gridCol w:w="1117"/>
        <w:gridCol w:w="761"/>
        <w:gridCol w:w="744"/>
        <w:gridCol w:w="1307"/>
        <w:gridCol w:w="1134"/>
        <w:gridCol w:w="876"/>
        <w:gridCol w:w="876"/>
        <w:gridCol w:w="876"/>
        <w:gridCol w:w="2432"/>
        <w:gridCol w:w="1167"/>
      </w:tblGrid>
      <w:tr w:rsidR="00C57017">
        <w:trPr>
          <w:trHeight w:val="20"/>
        </w:trPr>
        <w:tc>
          <w:tcPr>
            <w:tcW w:w="455" w:type="pct"/>
            <w:tcBorders>
              <w:top w:val="single" w:sz="4" w:space="0" w:color="auto"/>
              <w:left w:val="single" w:sz="4" w:space="0" w:color="auto"/>
              <w:bottom w:val="single" w:sz="4" w:space="0" w:color="auto"/>
              <w:right w:val="single" w:sz="4" w:space="0" w:color="auto"/>
            </w:tcBorders>
          </w:tcPr>
          <w:p w:rsidR="00C57017" w:rsidRDefault="0099291D">
            <w:pPr>
              <w:pStyle w:val="TAL"/>
              <w:spacing w:before="120" w:after="120"/>
              <w:rPr>
                <w:rFonts w:ascii="Times New Roman" w:hAnsi="Times New Roman"/>
              </w:rPr>
            </w:pPr>
            <w:r>
              <w:rPr>
                <w:rFonts w:ascii="Times New Roman" w:hAnsi="Times New Roman"/>
              </w:rPr>
              <w:t>29. NR_UE_pow_sav_enh</w:t>
            </w:r>
          </w:p>
        </w:tc>
        <w:tc>
          <w:tcPr>
            <w:tcW w:w="155" w:type="pct"/>
            <w:tcBorders>
              <w:top w:val="single" w:sz="4" w:space="0" w:color="auto"/>
              <w:left w:val="nil"/>
              <w:bottom w:val="single" w:sz="4" w:space="0" w:color="auto"/>
              <w:right w:val="single" w:sz="4" w:space="0" w:color="auto"/>
            </w:tcBorders>
          </w:tcPr>
          <w:p w:rsidR="00C57017" w:rsidRDefault="0099291D">
            <w:pPr>
              <w:pStyle w:val="TAL"/>
              <w:spacing w:before="120" w:after="120"/>
              <w:rPr>
                <w:rFonts w:ascii="Times New Roman" w:hAnsi="Times New Roman"/>
              </w:rPr>
            </w:pPr>
            <w:r>
              <w:rPr>
                <w:rFonts w:ascii="Times New Roman" w:hAnsi="Times New Roman"/>
              </w:rPr>
              <w:t>29-1</w:t>
            </w:r>
          </w:p>
        </w:tc>
        <w:tc>
          <w:tcPr>
            <w:tcW w:w="344" w:type="pct"/>
            <w:tcBorders>
              <w:top w:val="single" w:sz="4" w:space="0" w:color="auto"/>
              <w:left w:val="nil"/>
              <w:bottom w:val="single" w:sz="4" w:space="0" w:color="auto"/>
              <w:right w:val="single" w:sz="4" w:space="0" w:color="auto"/>
            </w:tcBorders>
          </w:tcPr>
          <w:p w:rsidR="00C57017" w:rsidRDefault="0099291D">
            <w:pPr>
              <w:pStyle w:val="TAL"/>
              <w:spacing w:before="120" w:after="120"/>
              <w:rPr>
                <w:rFonts w:ascii="Times New Roman" w:hAnsi="Times New Roman"/>
              </w:rPr>
            </w:pPr>
            <w:r>
              <w:rPr>
                <w:rFonts w:ascii="Times New Roman" w:hAnsi="Times New Roman"/>
              </w:rPr>
              <w:t>Paging enhancement </w:t>
            </w:r>
          </w:p>
        </w:tc>
        <w:tc>
          <w:tcPr>
            <w:tcW w:w="1337" w:type="pct"/>
            <w:tcBorders>
              <w:top w:val="single" w:sz="4" w:space="0" w:color="auto"/>
              <w:left w:val="nil"/>
              <w:bottom w:val="single" w:sz="4" w:space="0" w:color="auto"/>
              <w:right w:val="single" w:sz="4" w:space="0" w:color="auto"/>
            </w:tcBorders>
            <w:shd w:val="clear" w:color="auto" w:fill="FFFF00"/>
          </w:tcPr>
          <w:p w:rsidR="00C57017" w:rsidRDefault="0099291D">
            <w:pPr>
              <w:autoSpaceDE w:val="0"/>
              <w:autoSpaceDN w:val="0"/>
              <w:adjustRightInd w:val="0"/>
              <w:snapToGrid w:val="0"/>
              <w:spacing w:before="120" w:after="120"/>
              <w:contextualSpacing/>
              <w:rPr>
                <w:sz w:val="18"/>
                <w:szCs w:val="18"/>
              </w:rPr>
            </w:pPr>
            <w:r>
              <w:rPr>
                <w:sz w:val="18"/>
                <w:szCs w:val="18"/>
              </w:rPr>
              <w:t>1. Support paging early indication</w:t>
            </w:r>
          </w:p>
          <w:p w:rsidR="00C57017" w:rsidRDefault="0099291D">
            <w:pPr>
              <w:autoSpaceDE w:val="0"/>
              <w:autoSpaceDN w:val="0"/>
              <w:adjustRightInd w:val="0"/>
              <w:snapToGrid w:val="0"/>
              <w:spacing w:before="120" w:after="120"/>
              <w:contextualSpacing/>
              <w:rPr>
                <w:sz w:val="18"/>
                <w:szCs w:val="18"/>
              </w:rPr>
            </w:pPr>
            <w:r>
              <w:rPr>
                <w:sz w:val="18"/>
                <w:szCs w:val="18"/>
              </w:rPr>
              <w:t>2. Support UE subgroup indication</w:t>
            </w:r>
          </w:p>
        </w:tc>
        <w:tc>
          <w:tcPr>
            <w:tcW w:w="268" w:type="pct"/>
            <w:tcBorders>
              <w:top w:val="single" w:sz="4" w:space="0" w:color="auto"/>
              <w:left w:val="nil"/>
              <w:bottom w:val="single" w:sz="4" w:space="0" w:color="auto"/>
              <w:right w:val="single" w:sz="4" w:space="0" w:color="auto"/>
            </w:tcBorders>
          </w:tcPr>
          <w:p w:rsidR="00C57017" w:rsidRDefault="00C57017">
            <w:pPr>
              <w:pStyle w:val="TAL"/>
              <w:spacing w:before="120" w:after="120"/>
              <w:rPr>
                <w:rFonts w:ascii="Times New Roman" w:hAnsi="Times New Roman"/>
                <w:szCs w:val="18"/>
                <w:highlight w:val="yellow"/>
              </w:rPr>
            </w:pPr>
          </w:p>
        </w:tc>
        <w:tc>
          <w:tcPr>
            <w:tcW w:w="184" w:type="pct"/>
            <w:tcBorders>
              <w:top w:val="single" w:sz="4" w:space="0" w:color="auto"/>
              <w:left w:val="nil"/>
              <w:bottom w:val="single" w:sz="4" w:space="0" w:color="auto"/>
              <w:right w:val="single" w:sz="4" w:space="0" w:color="auto"/>
            </w:tcBorders>
          </w:tcPr>
          <w:p w:rsidR="00C57017" w:rsidRDefault="0099291D">
            <w:pPr>
              <w:pStyle w:val="TAL"/>
              <w:spacing w:before="120" w:after="120"/>
              <w:rPr>
                <w:rFonts w:ascii="Times New Roman" w:hAnsi="Times New Roman"/>
                <w:strike/>
              </w:rPr>
            </w:pPr>
            <w:r>
              <w:rPr>
                <w:rFonts w:ascii="Times New Roman" w:hAnsi="Times New Roman"/>
                <w:strike/>
                <w:color w:val="FF0000"/>
              </w:rPr>
              <w:t>N</w:t>
            </w:r>
          </w:p>
        </w:tc>
        <w:tc>
          <w:tcPr>
            <w:tcW w:w="180" w:type="pct"/>
            <w:tcBorders>
              <w:top w:val="single" w:sz="4" w:space="0" w:color="auto"/>
              <w:left w:val="nil"/>
              <w:bottom w:val="single" w:sz="4" w:space="0" w:color="auto"/>
              <w:right w:val="single" w:sz="4" w:space="0" w:color="auto"/>
            </w:tcBorders>
          </w:tcPr>
          <w:p w:rsidR="00C57017" w:rsidRDefault="00C57017">
            <w:pPr>
              <w:pStyle w:val="TAL"/>
              <w:spacing w:before="120" w:after="120"/>
              <w:rPr>
                <w:rFonts w:ascii="Times New Roman" w:eastAsia="MS Mincho" w:hAnsi="Times New Roman"/>
              </w:rPr>
            </w:pPr>
          </w:p>
        </w:tc>
        <w:tc>
          <w:tcPr>
            <w:tcW w:w="313" w:type="pct"/>
            <w:tcBorders>
              <w:top w:val="single" w:sz="4" w:space="0" w:color="auto"/>
              <w:left w:val="nil"/>
              <w:bottom w:val="single" w:sz="4" w:space="0" w:color="auto"/>
              <w:right w:val="single" w:sz="4" w:space="0" w:color="auto"/>
            </w:tcBorders>
          </w:tcPr>
          <w:p w:rsidR="00C57017" w:rsidRDefault="0099291D">
            <w:pPr>
              <w:pStyle w:val="TAL"/>
              <w:spacing w:before="120" w:after="120"/>
              <w:rPr>
                <w:rFonts w:ascii="Times New Roman" w:hAnsi="Times New Roman"/>
                <w:strike/>
                <w:color w:val="FF0000"/>
              </w:rPr>
            </w:pPr>
            <w:r>
              <w:rPr>
                <w:rFonts w:ascii="Times New Roman" w:hAnsi="Times New Roman"/>
                <w:strike/>
                <w:color w:val="FF0000"/>
              </w:rPr>
              <w:t>High idle/inactive mode UE power consumption if NR SA networks</w:t>
            </w:r>
          </w:p>
          <w:p w:rsidR="00C57017" w:rsidRDefault="0099291D">
            <w:pPr>
              <w:pStyle w:val="TAL"/>
              <w:spacing w:before="120" w:after="120"/>
              <w:rPr>
                <w:rFonts w:ascii="Times New Roman" w:eastAsia="MS Mincho" w:hAnsi="Times New Roman"/>
              </w:rPr>
            </w:pPr>
            <w:r>
              <w:rPr>
                <w:rFonts w:ascii="Times New Roman" w:hAnsi="Times New Roman"/>
                <w:color w:val="FF0000"/>
              </w:rPr>
              <w:t>UE does not support paging enhancement</w:t>
            </w:r>
          </w:p>
        </w:tc>
        <w:tc>
          <w:tcPr>
            <w:tcW w:w="272"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rPr>
            </w:pPr>
            <w:r>
              <w:rPr>
                <w:rFonts w:ascii="Times New Roman" w:hAnsi="Times New Roman"/>
              </w:rPr>
              <w:t>Per UE</w:t>
            </w:r>
          </w:p>
        </w:tc>
        <w:tc>
          <w:tcPr>
            <w:tcW w:w="211"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eastAsia="MS Mincho" w:hAnsi="Times New Roman"/>
              </w:rPr>
            </w:pPr>
            <w:r>
              <w:rPr>
                <w:rFonts w:ascii="Times New Roman" w:hAnsi="Times New Roman"/>
              </w:rPr>
              <w:t>N</w:t>
            </w:r>
          </w:p>
        </w:tc>
        <w:tc>
          <w:tcPr>
            <w:tcW w:w="211"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rPr>
            </w:pPr>
            <w:r>
              <w:rPr>
                <w:rFonts w:ascii="Times New Roman" w:hAnsi="Times New Roman"/>
              </w:rPr>
              <w:t>N</w:t>
            </w:r>
          </w:p>
        </w:tc>
        <w:tc>
          <w:tcPr>
            <w:tcW w:w="211"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rPr>
            </w:pPr>
            <w:r>
              <w:rPr>
                <w:rFonts w:ascii="Times New Roman" w:hAnsi="Times New Roman"/>
              </w:rPr>
              <w:t>N</w:t>
            </w:r>
          </w:p>
        </w:tc>
        <w:tc>
          <w:tcPr>
            <w:tcW w:w="579" w:type="pct"/>
            <w:tcBorders>
              <w:top w:val="single" w:sz="4" w:space="0" w:color="auto"/>
              <w:left w:val="nil"/>
              <w:bottom w:val="single" w:sz="4" w:space="0" w:color="auto"/>
              <w:right w:val="single" w:sz="4" w:space="0" w:color="auto"/>
            </w:tcBorders>
          </w:tcPr>
          <w:p w:rsidR="00C57017" w:rsidRDefault="0099291D">
            <w:pPr>
              <w:pStyle w:val="TAL"/>
              <w:spacing w:before="120" w:after="120"/>
              <w:rPr>
                <w:rFonts w:ascii="Times New Roman" w:hAnsi="Times New Roman"/>
              </w:rPr>
            </w:pPr>
            <w:r>
              <w:rPr>
                <w:rFonts w:ascii="Times New Roman" w:hAnsi="Times New Roman"/>
              </w:rPr>
              <w:t>For component 2, it is up to RAN2 whether/how to separate the capability for UE subgroup indication</w:t>
            </w:r>
          </w:p>
          <w:p w:rsidR="00C57017" w:rsidRDefault="0099291D">
            <w:pPr>
              <w:pStyle w:val="TAL"/>
              <w:spacing w:before="120" w:after="120"/>
              <w:rPr>
                <w:rFonts w:ascii="Times New Roman" w:hAnsi="Times New Roman"/>
              </w:rPr>
            </w:pPr>
            <w:r>
              <w:rPr>
                <w:rFonts w:ascii="Times New Roman" w:hAnsi="Times New Roman"/>
                <w:color w:val="FF0000"/>
              </w:rPr>
              <w:t>Leave RAN2 to decide whether ‘optional with capability signalling’ or ‘optional without capability signalling’</w:t>
            </w:r>
            <w:r>
              <w:rPr>
                <w:rFonts w:ascii="Times New Roman" w:hAnsi="Times New Roman"/>
              </w:rPr>
              <w:t> </w:t>
            </w:r>
          </w:p>
          <w:p w:rsidR="00C57017" w:rsidRDefault="0099291D">
            <w:pPr>
              <w:pStyle w:val="TAL"/>
              <w:spacing w:before="120" w:after="120"/>
              <w:rPr>
                <w:rFonts w:ascii="Times New Roman" w:hAnsi="Times New Roman"/>
              </w:rPr>
            </w:pPr>
            <w:r>
              <w:rPr>
                <w:rFonts w:ascii="Times New Roman" w:hAnsi="Times New Roman"/>
                <w:color w:val="FF0000"/>
              </w:rPr>
              <w:t>Leave RAN2 to decide whether Need for the gNB to know if the feature is supported is Yes or No</w:t>
            </w:r>
          </w:p>
        </w:tc>
        <w:tc>
          <w:tcPr>
            <w:tcW w:w="280" w:type="pct"/>
            <w:tcBorders>
              <w:top w:val="single" w:sz="4" w:space="0" w:color="auto"/>
              <w:left w:val="nil"/>
              <w:bottom w:val="single" w:sz="4" w:space="0" w:color="auto"/>
              <w:right w:val="single" w:sz="4" w:space="0" w:color="auto"/>
            </w:tcBorders>
          </w:tcPr>
          <w:p w:rsidR="00C57017" w:rsidRDefault="0099291D">
            <w:pPr>
              <w:pStyle w:val="TAL"/>
              <w:spacing w:before="120" w:after="120"/>
              <w:rPr>
                <w:rFonts w:ascii="Times New Roman" w:hAnsi="Times New Roman"/>
              </w:rPr>
            </w:pPr>
            <w:r>
              <w:rPr>
                <w:rFonts w:ascii="Times New Roman" w:hAnsi="Times New Roman"/>
              </w:rPr>
              <w:t xml:space="preserve">Optional </w:t>
            </w:r>
            <w:r>
              <w:rPr>
                <w:rFonts w:ascii="Times New Roman" w:hAnsi="Times New Roman"/>
                <w:strike/>
                <w:color w:val="FF0000"/>
              </w:rPr>
              <w:t>without capability signalling</w:t>
            </w:r>
          </w:p>
        </w:tc>
      </w:tr>
    </w:tbl>
    <w:p w:rsidR="00C57017" w:rsidRDefault="0099291D">
      <w:pPr>
        <w:spacing w:before="120" w:after="120"/>
        <w:rPr>
          <w:rFonts w:eastAsia="MS Gothic"/>
          <w:sz w:val="22"/>
          <w:szCs w:val="22"/>
        </w:rPr>
      </w:pPr>
      <w:r>
        <w:rPr>
          <w:rFonts w:eastAsia="MS PGothic"/>
          <w:color w:val="000000"/>
        </w:rPr>
        <w:t>Note that any contents highlighted in yellow mean FFS and to be discussed further.</w:t>
      </w:r>
    </w:p>
    <w:p w:rsidR="00C57017" w:rsidRDefault="0099291D">
      <w:pPr>
        <w:spacing w:before="120" w:after="120"/>
        <w:rPr>
          <w:sz w:val="22"/>
          <w:szCs w:val="22"/>
        </w:rPr>
      </w:pPr>
      <w:r>
        <w:rPr>
          <w:sz w:val="22"/>
          <w:szCs w:val="22"/>
        </w:rPr>
        <w:t xml:space="preserve"> </w:t>
      </w:r>
    </w:p>
    <w:p w:rsidR="00C57017" w:rsidRDefault="0099291D">
      <w:pPr>
        <w:spacing w:before="120" w:after="120"/>
        <w:rPr>
          <w:b/>
          <w:bCs/>
          <w:sz w:val="24"/>
          <w:szCs w:val="24"/>
        </w:rPr>
      </w:pPr>
      <w:r>
        <w:rPr>
          <w:b/>
          <w:bCs/>
          <w:highlight w:val="green"/>
        </w:rPr>
        <w:t>Agreement</w:t>
      </w:r>
    </w:p>
    <w:p w:rsidR="00C57017" w:rsidRDefault="0099291D">
      <w:pPr>
        <w:pStyle w:val="ListParagraph2"/>
        <w:numPr>
          <w:ilvl w:val="0"/>
          <w:numId w:val="11"/>
        </w:numPr>
        <w:spacing w:before="120" w:afterLines="50" w:after="120" w:afterAutospacing="0"/>
        <w:ind w:leftChars="0"/>
        <w:jc w:val="both"/>
        <w:rPr>
          <w:sz w:val="22"/>
          <w:szCs w:val="22"/>
        </w:rPr>
      </w:pPr>
      <w:r>
        <w:t>Component 2 in FG 29-2 for support receiving L1 indication for TRS availability is kept</w:t>
      </w:r>
    </w:p>
    <w:p w:rsidR="00C57017" w:rsidRDefault="0099291D">
      <w:pPr>
        <w:spacing w:before="120" w:after="120"/>
        <w:rPr>
          <w:sz w:val="22"/>
          <w:szCs w:val="22"/>
        </w:rPr>
      </w:pPr>
      <w:r>
        <w:rPr>
          <w:sz w:val="22"/>
          <w:szCs w:val="22"/>
        </w:rPr>
        <w:lastRenderedPageBreak/>
        <w:t xml:space="preserve"> </w:t>
      </w:r>
    </w:p>
    <w:p w:rsidR="00C57017" w:rsidRDefault="0099291D">
      <w:pPr>
        <w:spacing w:before="120" w:after="120"/>
        <w:rPr>
          <w:b/>
          <w:bCs/>
          <w:sz w:val="24"/>
          <w:szCs w:val="24"/>
        </w:rPr>
      </w:pPr>
      <w:r>
        <w:rPr>
          <w:b/>
          <w:bCs/>
          <w:highlight w:val="green"/>
        </w:rPr>
        <w:t>Agreement</w:t>
      </w:r>
    </w:p>
    <w:p w:rsidR="00C57017" w:rsidRDefault="0099291D">
      <w:pPr>
        <w:pStyle w:val="ListParagraph2"/>
        <w:numPr>
          <w:ilvl w:val="0"/>
          <w:numId w:val="11"/>
        </w:numPr>
        <w:spacing w:before="120" w:afterLines="50" w:after="120" w:afterAutospacing="0"/>
        <w:ind w:leftChars="0" w:left="482" w:hanging="482"/>
        <w:jc w:val="both"/>
      </w:pPr>
      <w:r>
        <w:t>FG 29-3 is split into multiple FGs as follows:</w:t>
      </w:r>
    </w:p>
    <w:p w:rsidR="00C57017" w:rsidRDefault="0099291D">
      <w:pPr>
        <w:pStyle w:val="ListParagraph2"/>
        <w:numPr>
          <w:ilvl w:val="1"/>
          <w:numId w:val="11"/>
        </w:numPr>
        <w:spacing w:before="120" w:afterLines="50" w:after="120" w:afterAutospacing="0"/>
        <w:ind w:leftChars="0"/>
        <w:jc w:val="both"/>
      </w:pPr>
      <w:r>
        <w:t xml:space="preserve">FG 29-3a: PDCCH skipping </w:t>
      </w:r>
    </w:p>
    <w:p w:rsidR="00C57017" w:rsidRDefault="0099291D">
      <w:pPr>
        <w:pStyle w:val="ListParagraph2"/>
        <w:numPr>
          <w:ilvl w:val="1"/>
          <w:numId w:val="11"/>
        </w:numPr>
        <w:spacing w:before="120" w:afterLines="50" w:after="120" w:afterAutospacing="0"/>
        <w:ind w:leftChars="0"/>
        <w:jc w:val="both"/>
      </w:pPr>
      <w:r>
        <w:t>FG 29-3b: 2 search space sets group switching</w:t>
      </w:r>
    </w:p>
    <w:p w:rsidR="00C57017" w:rsidRDefault="0099291D">
      <w:pPr>
        <w:pStyle w:val="ListParagraph2"/>
        <w:numPr>
          <w:ilvl w:val="1"/>
          <w:numId w:val="11"/>
        </w:numPr>
        <w:spacing w:before="120" w:afterLines="50" w:after="120" w:afterAutospacing="0"/>
        <w:ind w:leftChars="0"/>
        <w:jc w:val="both"/>
      </w:pPr>
      <w:r>
        <w:t>[FG 29-3c]: 3 search space sets group switching</w:t>
      </w:r>
    </w:p>
    <w:p w:rsidR="00C57017" w:rsidRDefault="0099291D">
      <w:pPr>
        <w:pStyle w:val="ListParagraph2"/>
        <w:numPr>
          <w:ilvl w:val="1"/>
          <w:numId w:val="11"/>
        </w:numPr>
        <w:spacing w:before="120" w:afterLines="50" w:after="120" w:afterAutospacing="0"/>
        <w:ind w:leftChars="0"/>
        <w:jc w:val="both"/>
      </w:pPr>
      <w:r>
        <w:t>[FG 29-3d]: 2 search space sets group switching with PDCCH skipping</w:t>
      </w:r>
    </w:p>
    <w:p w:rsidR="00C57017" w:rsidRDefault="0099291D">
      <w:pPr>
        <w:pStyle w:val="ListParagraph2"/>
        <w:numPr>
          <w:ilvl w:val="1"/>
          <w:numId w:val="11"/>
        </w:numPr>
        <w:spacing w:before="120" w:afterLines="50" w:after="120" w:afterAutospacing="0"/>
        <w:ind w:leftChars="0"/>
        <w:jc w:val="both"/>
      </w:pPr>
      <w:r>
        <w:t>FFS: A UE reporting 29-3a and 29-3b does not implicitly mean the UE supports FG 29-3d</w:t>
      </w:r>
    </w:p>
    <w:p w:rsidR="00C57017" w:rsidRDefault="0099291D">
      <w:pPr>
        <w:pStyle w:val="ListParagraph2"/>
        <w:numPr>
          <w:ilvl w:val="1"/>
          <w:numId w:val="11"/>
        </w:numPr>
        <w:spacing w:before="120" w:afterLines="50" w:after="120" w:afterAutospacing="0"/>
        <w:ind w:leftChars="0"/>
        <w:jc w:val="both"/>
      </w:pPr>
      <w:r>
        <w:t>FFS: FG for 3 search space sets group switching with PDCCH skipping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756"/>
        <w:gridCol w:w="1405"/>
        <w:gridCol w:w="5652"/>
        <w:gridCol w:w="1102"/>
        <w:gridCol w:w="742"/>
        <w:gridCol w:w="729"/>
        <w:gridCol w:w="1284"/>
        <w:gridCol w:w="1119"/>
        <w:gridCol w:w="861"/>
        <w:gridCol w:w="861"/>
        <w:gridCol w:w="861"/>
        <w:gridCol w:w="2417"/>
        <w:gridCol w:w="1211"/>
      </w:tblGrid>
      <w:tr w:rsidR="00C57017">
        <w:trPr>
          <w:trHeight w:val="20"/>
        </w:trPr>
        <w:tc>
          <w:tcPr>
            <w:tcW w:w="512" w:type="pct"/>
            <w:tcBorders>
              <w:top w:val="single" w:sz="4" w:space="0" w:color="auto"/>
              <w:left w:val="single" w:sz="4" w:space="0" w:color="auto"/>
              <w:bottom w:val="single" w:sz="4" w:space="0" w:color="auto"/>
              <w:right w:val="single" w:sz="4" w:space="0" w:color="auto"/>
            </w:tcBorders>
          </w:tcPr>
          <w:p w:rsidR="00C57017" w:rsidRDefault="0099291D">
            <w:pPr>
              <w:pStyle w:val="TAL"/>
              <w:spacing w:before="120" w:after="120"/>
              <w:rPr>
                <w:rFonts w:ascii="Times New Roman" w:hAnsi="Times New Roman"/>
                <w:color w:val="FF0000"/>
              </w:rPr>
            </w:pPr>
            <w:r>
              <w:rPr>
                <w:rFonts w:ascii="Times New Roman" w:hAnsi="Times New Roman"/>
                <w:color w:val="FF0000"/>
              </w:rPr>
              <w:t>29. NR_UE_pow_sav_enh</w:t>
            </w:r>
          </w:p>
        </w:tc>
        <w:tc>
          <w:tcPr>
            <w:tcW w:w="151" w:type="pct"/>
            <w:tcBorders>
              <w:top w:val="single" w:sz="4" w:space="0" w:color="auto"/>
              <w:left w:val="nil"/>
              <w:bottom w:val="single" w:sz="4" w:space="0" w:color="auto"/>
              <w:right w:val="single" w:sz="4" w:space="0" w:color="auto"/>
            </w:tcBorders>
          </w:tcPr>
          <w:p w:rsidR="00C57017" w:rsidRDefault="0099291D">
            <w:pPr>
              <w:pStyle w:val="TAL"/>
              <w:spacing w:before="120" w:after="120"/>
              <w:rPr>
                <w:rFonts w:ascii="Times New Roman" w:hAnsi="Times New Roman"/>
                <w:color w:val="FF0000"/>
              </w:rPr>
            </w:pPr>
            <w:r>
              <w:rPr>
                <w:rFonts w:ascii="Times New Roman" w:hAnsi="Times New Roman"/>
                <w:color w:val="FF0000"/>
              </w:rPr>
              <w:t>29-3a</w:t>
            </w:r>
          </w:p>
        </w:tc>
        <w:tc>
          <w:tcPr>
            <w:tcW w:w="336" w:type="pct"/>
            <w:tcBorders>
              <w:top w:val="single" w:sz="4" w:space="0" w:color="auto"/>
              <w:left w:val="nil"/>
              <w:bottom w:val="single" w:sz="4" w:space="0" w:color="auto"/>
              <w:right w:val="single" w:sz="4" w:space="0" w:color="auto"/>
            </w:tcBorders>
          </w:tcPr>
          <w:p w:rsidR="00C57017" w:rsidRDefault="0099291D">
            <w:pPr>
              <w:pStyle w:val="TAL"/>
              <w:spacing w:before="120" w:after="120"/>
              <w:rPr>
                <w:rFonts w:ascii="Times New Roman" w:hAnsi="Times New Roman"/>
                <w:color w:val="FF0000"/>
              </w:rPr>
            </w:pPr>
            <w:r>
              <w:rPr>
                <w:rFonts w:ascii="Times New Roman" w:hAnsi="Times New Roman"/>
                <w:color w:val="FF0000"/>
              </w:rPr>
              <w:t>PDCCH skipping</w:t>
            </w:r>
          </w:p>
        </w:tc>
        <w:tc>
          <w:tcPr>
            <w:tcW w:w="1340" w:type="pct"/>
            <w:tcBorders>
              <w:top w:val="single" w:sz="4" w:space="0" w:color="auto"/>
              <w:left w:val="nil"/>
              <w:bottom w:val="single" w:sz="4" w:space="0" w:color="auto"/>
              <w:right w:val="single" w:sz="4" w:space="0" w:color="auto"/>
            </w:tcBorders>
            <w:shd w:val="clear" w:color="auto" w:fill="FFFF00"/>
          </w:tcPr>
          <w:p w:rsidR="00C57017" w:rsidRDefault="0099291D">
            <w:pPr>
              <w:keepNext/>
              <w:keepLines/>
              <w:widowControl w:val="0"/>
              <w:spacing w:before="120" w:after="120"/>
              <w:rPr>
                <w:strike/>
                <w:color w:val="FF0000"/>
                <w:sz w:val="18"/>
                <w:szCs w:val="18"/>
              </w:rPr>
            </w:pPr>
            <w:r>
              <w:rPr>
                <w:strike/>
                <w:color w:val="FF0000"/>
                <w:sz w:val="18"/>
                <w:szCs w:val="18"/>
              </w:rPr>
              <w:t>Support of PDCCH skipping</w:t>
            </w:r>
          </w:p>
          <w:p w:rsidR="00C57017" w:rsidRDefault="0099291D">
            <w:pPr>
              <w:keepNext/>
              <w:keepLines/>
              <w:widowControl w:val="0"/>
              <w:spacing w:before="120" w:after="120"/>
              <w:rPr>
                <w:strike/>
                <w:color w:val="0070C0"/>
                <w:sz w:val="18"/>
                <w:szCs w:val="18"/>
              </w:rPr>
            </w:pPr>
            <w:r>
              <w:rPr>
                <w:color w:val="FF0000"/>
                <w:sz w:val="18"/>
                <w:szCs w:val="18"/>
              </w:rPr>
              <w:t>Support of up to 2-bit indication of PDCCH skipping by scheduling DCI if SSSG is not configured</w:t>
            </w:r>
          </w:p>
        </w:tc>
        <w:tc>
          <w:tcPr>
            <w:tcW w:w="264" w:type="pct"/>
            <w:tcBorders>
              <w:top w:val="single" w:sz="4" w:space="0" w:color="auto"/>
              <w:left w:val="nil"/>
              <w:bottom w:val="single" w:sz="4" w:space="0" w:color="auto"/>
              <w:right w:val="single" w:sz="4" w:space="0" w:color="auto"/>
            </w:tcBorders>
          </w:tcPr>
          <w:p w:rsidR="00C57017" w:rsidRDefault="00C57017">
            <w:pPr>
              <w:pStyle w:val="TAL"/>
              <w:spacing w:before="120" w:after="120"/>
              <w:rPr>
                <w:rFonts w:ascii="Times New Roman" w:eastAsia="MS Mincho" w:hAnsi="Times New Roman"/>
                <w:color w:val="FF0000"/>
                <w:szCs w:val="18"/>
              </w:rPr>
            </w:pPr>
          </w:p>
        </w:tc>
        <w:tc>
          <w:tcPr>
            <w:tcW w:w="179" w:type="pct"/>
            <w:tcBorders>
              <w:top w:val="single" w:sz="4" w:space="0" w:color="auto"/>
              <w:left w:val="nil"/>
              <w:bottom w:val="single" w:sz="4" w:space="0" w:color="auto"/>
              <w:right w:val="single" w:sz="4" w:space="0" w:color="auto"/>
            </w:tcBorders>
          </w:tcPr>
          <w:p w:rsidR="00C57017" w:rsidRDefault="0099291D">
            <w:pPr>
              <w:pStyle w:val="TAL"/>
              <w:spacing w:before="120" w:after="120"/>
              <w:rPr>
                <w:rFonts w:ascii="Times New Roman" w:hAnsi="Times New Roman"/>
                <w:color w:val="FF0000"/>
              </w:rPr>
            </w:pPr>
            <w:r>
              <w:rPr>
                <w:rFonts w:ascii="Times New Roman" w:hAnsi="Times New Roman"/>
                <w:color w:val="FF0000"/>
              </w:rPr>
              <w:t>Y</w:t>
            </w:r>
          </w:p>
        </w:tc>
        <w:tc>
          <w:tcPr>
            <w:tcW w:w="176" w:type="pct"/>
            <w:tcBorders>
              <w:top w:val="single" w:sz="4" w:space="0" w:color="auto"/>
              <w:left w:val="nil"/>
              <w:bottom w:val="single" w:sz="4" w:space="0" w:color="auto"/>
              <w:right w:val="single" w:sz="4" w:space="0" w:color="auto"/>
            </w:tcBorders>
          </w:tcPr>
          <w:p w:rsidR="00C57017" w:rsidRDefault="00C57017">
            <w:pPr>
              <w:pStyle w:val="TAL"/>
              <w:spacing w:before="120" w:after="120"/>
              <w:rPr>
                <w:rFonts w:ascii="Times New Roman" w:eastAsia="MS Mincho" w:hAnsi="Times New Roman"/>
                <w:color w:val="FF0000"/>
              </w:rPr>
            </w:pPr>
          </w:p>
        </w:tc>
        <w:tc>
          <w:tcPr>
            <w:tcW w:w="307" w:type="pct"/>
            <w:tcBorders>
              <w:top w:val="single" w:sz="4" w:space="0" w:color="auto"/>
              <w:left w:val="nil"/>
              <w:bottom w:val="single" w:sz="4" w:space="0" w:color="auto"/>
              <w:right w:val="single" w:sz="4" w:space="0" w:color="auto"/>
            </w:tcBorders>
          </w:tcPr>
          <w:p w:rsidR="00C57017" w:rsidRDefault="00C57017">
            <w:pPr>
              <w:pStyle w:val="TAL"/>
              <w:spacing w:before="120" w:after="120"/>
              <w:rPr>
                <w:rFonts w:ascii="Times New Roman" w:hAnsi="Times New Roman"/>
                <w:strike/>
                <w:color w:val="FF0000"/>
              </w:rPr>
            </w:pPr>
          </w:p>
        </w:tc>
        <w:tc>
          <w:tcPr>
            <w:tcW w:w="268"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eastAsia="MS Mincho" w:hAnsi="Times New Roman"/>
                <w:color w:val="FF0000"/>
              </w:rPr>
            </w:pPr>
            <w:r>
              <w:rPr>
                <w:rFonts w:ascii="Times New Roman" w:hAnsi="Times New Roman"/>
                <w:color w:val="FF0000"/>
              </w:rPr>
              <w:t>Per UE</w:t>
            </w:r>
          </w:p>
        </w:tc>
        <w:tc>
          <w:tcPr>
            <w:tcW w:w="207"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N</w:t>
            </w:r>
          </w:p>
        </w:tc>
        <w:tc>
          <w:tcPr>
            <w:tcW w:w="207"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N</w:t>
            </w:r>
          </w:p>
        </w:tc>
        <w:tc>
          <w:tcPr>
            <w:tcW w:w="207"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N</w:t>
            </w:r>
          </w:p>
        </w:tc>
        <w:tc>
          <w:tcPr>
            <w:tcW w:w="575" w:type="pct"/>
            <w:tcBorders>
              <w:top w:val="single" w:sz="4" w:space="0" w:color="auto"/>
              <w:left w:val="nil"/>
              <w:bottom w:val="single" w:sz="4" w:space="0" w:color="auto"/>
              <w:right w:val="single" w:sz="4" w:space="0" w:color="auto"/>
            </w:tcBorders>
            <w:shd w:val="clear" w:color="auto" w:fill="FFFF00"/>
          </w:tcPr>
          <w:p w:rsidR="00C57017" w:rsidRDefault="00C57017">
            <w:pPr>
              <w:pStyle w:val="TAL"/>
              <w:spacing w:before="120" w:after="120"/>
              <w:rPr>
                <w:rFonts w:ascii="Times New Roman" w:hAnsi="Times New Roman"/>
                <w:color w:val="FF0000"/>
              </w:rPr>
            </w:pPr>
          </w:p>
        </w:tc>
        <w:tc>
          <w:tcPr>
            <w:tcW w:w="271" w:type="pct"/>
            <w:tcBorders>
              <w:top w:val="single" w:sz="4" w:space="0" w:color="auto"/>
              <w:left w:val="nil"/>
              <w:bottom w:val="single" w:sz="4" w:space="0" w:color="auto"/>
              <w:right w:val="single" w:sz="4" w:space="0" w:color="auto"/>
            </w:tcBorders>
          </w:tcPr>
          <w:p w:rsidR="00C57017" w:rsidRDefault="0099291D">
            <w:pPr>
              <w:pStyle w:val="TAL"/>
              <w:spacing w:before="120" w:after="120"/>
              <w:rPr>
                <w:rFonts w:ascii="Times New Roman" w:hAnsi="Times New Roman"/>
                <w:color w:val="FF0000"/>
              </w:rPr>
            </w:pPr>
            <w:r>
              <w:rPr>
                <w:rFonts w:ascii="Times New Roman" w:hAnsi="Times New Roman"/>
                <w:color w:val="FF0000"/>
              </w:rPr>
              <w:t>Optional with capability signaling</w:t>
            </w:r>
          </w:p>
        </w:tc>
      </w:tr>
      <w:tr w:rsidR="00C57017">
        <w:trPr>
          <w:trHeight w:val="20"/>
        </w:trPr>
        <w:tc>
          <w:tcPr>
            <w:tcW w:w="512" w:type="pct"/>
            <w:tcBorders>
              <w:top w:val="single" w:sz="4" w:space="0" w:color="auto"/>
              <w:left w:val="single" w:sz="4" w:space="0" w:color="auto"/>
              <w:bottom w:val="single" w:sz="4" w:space="0" w:color="auto"/>
              <w:right w:val="single" w:sz="4" w:space="0" w:color="auto"/>
            </w:tcBorders>
          </w:tcPr>
          <w:p w:rsidR="00C57017" w:rsidRDefault="0099291D">
            <w:pPr>
              <w:pStyle w:val="TAL"/>
              <w:spacing w:before="120" w:after="120"/>
              <w:rPr>
                <w:rFonts w:ascii="Times New Roman" w:eastAsia="MS Mincho" w:hAnsi="Times New Roman"/>
                <w:color w:val="FF0000"/>
              </w:rPr>
            </w:pPr>
            <w:r>
              <w:rPr>
                <w:rFonts w:ascii="Times New Roman" w:hAnsi="Times New Roman"/>
                <w:color w:val="FF0000"/>
              </w:rPr>
              <w:t>29. NR_UE_pow_sav_enh</w:t>
            </w:r>
          </w:p>
        </w:tc>
        <w:tc>
          <w:tcPr>
            <w:tcW w:w="151" w:type="pct"/>
            <w:tcBorders>
              <w:top w:val="single" w:sz="4" w:space="0" w:color="auto"/>
              <w:left w:val="nil"/>
              <w:bottom w:val="single" w:sz="4" w:space="0" w:color="auto"/>
              <w:right w:val="single" w:sz="4" w:space="0" w:color="auto"/>
            </w:tcBorders>
          </w:tcPr>
          <w:p w:rsidR="00C57017" w:rsidRDefault="0099291D">
            <w:pPr>
              <w:pStyle w:val="TAL"/>
              <w:spacing w:before="120" w:after="120"/>
              <w:rPr>
                <w:rFonts w:ascii="Times New Roman" w:hAnsi="Times New Roman"/>
                <w:color w:val="FF0000"/>
              </w:rPr>
            </w:pPr>
            <w:r>
              <w:rPr>
                <w:rFonts w:ascii="Times New Roman" w:hAnsi="Times New Roman"/>
                <w:color w:val="FF0000"/>
              </w:rPr>
              <w:t>29-3b</w:t>
            </w:r>
          </w:p>
        </w:tc>
        <w:tc>
          <w:tcPr>
            <w:tcW w:w="336" w:type="pct"/>
            <w:tcBorders>
              <w:top w:val="single" w:sz="4" w:space="0" w:color="auto"/>
              <w:left w:val="nil"/>
              <w:bottom w:val="single" w:sz="4" w:space="0" w:color="auto"/>
              <w:right w:val="single" w:sz="4" w:space="0" w:color="auto"/>
            </w:tcBorders>
          </w:tcPr>
          <w:p w:rsidR="00C57017" w:rsidRDefault="0099291D">
            <w:pPr>
              <w:pStyle w:val="TAL"/>
              <w:spacing w:before="120" w:after="120"/>
              <w:rPr>
                <w:rFonts w:ascii="Times New Roman" w:hAnsi="Times New Roman"/>
                <w:color w:val="FF0000"/>
              </w:rPr>
            </w:pPr>
            <w:r>
              <w:rPr>
                <w:rFonts w:ascii="Times New Roman" w:hAnsi="Times New Roman"/>
                <w:color w:val="FF0000"/>
              </w:rPr>
              <w:t>2 search space sets group switching</w:t>
            </w:r>
          </w:p>
        </w:tc>
        <w:tc>
          <w:tcPr>
            <w:tcW w:w="1340" w:type="pct"/>
            <w:tcBorders>
              <w:top w:val="single" w:sz="4" w:space="0" w:color="auto"/>
              <w:left w:val="nil"/>
              <w:bottom w:val="single" w:sz="4" w:space="0" w:color="auto"/>
              <w:right w:val="single" w:sz="4" w:space="0" w:color="auto"/>
            </w:tcBorders>
            <w:shd w:val="clear" w:color="auto" w:fill="FFFF00"/>
          </w:tcPr>
          <w:p w:rsidR="00C57017" w:rsidRDefault="0099291D">
            <w:pPr>
              <w:keepNext/>
              <w:keepLines/>
              <w:widowControl w:val="0"/>
              <w:spacing w:before="120" w:after="120"/>
              <w:rPr>
                <w:strike/>
                <w:color w:val="FF0000"/>
                <w:sz w:val="18"/>
                <w:szCs w:val="18"/>
              </w:rPr>
            </w:pPr>
            <w:r>
              <w:rPr>
                <w:strike/>
                <w:color w:val="FF0000"/>
                <w:sz w:val="18"/>
                <w:szCs w:val="18"/>
              </w:rPr>
              <w:t>Support of 2 search space sets grouping switching</w:t>
            </w:r>
          </w:p>
          <w:p w:rsidR="00C57017" w:rsidRDefault="0099291D">
            <w:pPr>
              <w:keepNext/>
              <w:keepLines/>
              <w:widowControl w:val="0"/>
              <w:spacing w:before="120" w:after="120"/>
              <w:rPr>
                <w:strike/>
                <w:color w:val="0070C0"/>
                <w:sz w:val="18"/>
                <w:szCs w:val="18"/>
              </w:rPr>
            </w:pPr>
            <w:r>
              <w:rPr>
                <w:color w:val="FF0000"/>
                <w:sz w:val="18"/>
                <w:szCs w:val="18"/>
              </w:rPr>
              <w:t>Support of 1-bit indication of SSSG switching between 2 SSSGs by scheduling DCI</w:t>
            </w:r>
            <w:r>
              <w:rPr>
                <w:rFonts w:eastAsia="MS Mincho"/>
                <w:color w:val="FF0000"/>
                <w:sz w:val="18"/>
                <w:szCs w:val="18"/>
              </w:rPr>
              <w:t>, and timer based switching, without PDCCH skipping</w:t>
            </w:r>
          </w:p>
        </w:tc>
        <w:tc>
          <w:tcPr>
            <w:tcW w:w="264" w:type="pct"/>
            <w:tcBorders>
              <w:top w:val="single" w:sz="4" w:space="0" w:color="auto"/>
              <w:left w:val="nil"/>
              <w:bottom w:val="single" w:sz="4" w:space="0" w:color="auto"/>
              <w:right w:val="single" w:sz="4" w:space="0" w:color="auto"/>
            </w:tcBorders>
          </w:tcPr>
          <w:p w:rsidR="00C57017" w:rsidRDefault="00C57017">
            <w:pPr>
              <w:pStyle w:val="TAL"/>
              <w:spacing w:before="120" w:after="120"/>
              <w:rPr>
                <w:rFonts w:ascii="Times New Roman" w:eastAsia="MS Mincho" w:hAnsi="Times New Roman"/>
                <w:color w:val="FF0000"/>
                <w:szCs w:val="18"/>
              </w:rPr>
            </w:pPr>
          </w:p>
        </w:tc>
        <w:tc>
          <w:tcPr>
            <w:tcW w:w="179" w:type="pct"/>
            <w:tcBorders>
              <w:top w:val="single" w:sz="4" w:space="0" w:color="auto"/>
              <w:left w:val="nil"/>
              <w:bottom w:val="single" w:sz="4" w:space="0" w:color="auto"/>
              <w:right w:val="single" w:sz="4" w:space="0" w:color="auto"/>
            </w:tcBorders>
          </w:tcPr>
          <w:p w:rsidR="00C57017" w:rsidRDefault="0099291D">
            <w:pPr>
              <w:pStyle w:val="TAL"/>
              <w:spacing w:before="120" w:after="120"/>
              <w:rPr>
                <w:rFonts w:ascii="Times New Roman" w:hAnsi="Times New Roman"/>
                <w:color w:val="FF0000"/>
              </w:rPr>
            </w:pPr>
            <w:r>
              <w:rPr>
                <w:rFonts w:ascii="Times New Roman" w:hAnsi="Times New Roman"/>
                <w:color w:val="FF0000"/>
              </w:rPr>
              <w:t>Y</w:t>
            </w:r>
          </w:p>
        </w:tc>
        <w:tc>
          <w:tcPr>
            <w:tcW w:w="176" w:type="pct"/>
            <w:tcBorders>
              <w:top w:val="single" w:sz="4" w:space="0" w:color="auto"/>
              <w:left w:val="nil"/>
              <w:bottom w:val="single" w:sz="4" w:space="0" w:color="auto"/>
              <w:right w:val="single" w:sz="4" w:space="0" w:color="auto"/>
            </w:tcBorders>
          </w:tcPr>
          <w:p w:rsidR="00C57017" w:rsidRDefault="00C57017">
            <w:pPr>
              <w:pStyle w:val="TAL"/>
              <w:spacing w:before="120" w:after="120"/>
              <w:rPr>
                <w:rFonts w:ascii="Times New Roman" w:eastAsia="MS Mincho" w:hAnsi="Times New Roman"/>
                <w:color w:val="FF0000"/>
              </w:rPr>
            </w:pPr>
          </w:p>
        </w:tc>
        <w:tc>
          <w:tcPr>
            <w:tcW w:w="307" w:type="pct"/>
            <w:tcBorders>
              <w:top w:val="single" w:sz="4" w:space="0" w:color="auto"/>
              <w:left w:val="nil"/>
              <w:bottom w:val="single" w:sz="4" w:space="0" w:color="auto"/>
              <w:right w:val="single" w:sz="4" w:space="0" w:color="auto"/>
            </w:tcBorders>
          </w:tcPr>
          <w:p w:rsidR="00C57017" w:rsidRDefault="00C57017">
            <w:pPr>
              <w:pStyle w:val="TAL"/>
              <w:spacing w:before="120" w:after="120"/>
              <w:rPr>
                <w:rFonts w:ascii="Times New Roman" w:hAnsi="Times New Roman"/>
                <w:strike/>
                <w:color w:val="FF0000"/>
              </w:rPr>
            </w:pPr>
          </w:p>
        </w:tc>
        <w:tc>
          <w:tcPr>
            <w:tcW w:w="268"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Per UE</w:t>
            </w:r>
          </w:p>
        </w:tc>
        <w:tc>
          <w:tcPr>
            <w:tcW w:w="207"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eastAsia="MS Mincho" w:hAnsi="Times New Roman"/>
                <w:color w:val="FF0000"/>
              </w:rPr>
            </w:pPr>
            <w:r>
              <w:rPr>
                <w:rFonts w:ascii="Times New Roman" w:hAnsi="Times New Roman"/>
                <w:color w:val="FF0000"/>
              </w:rPr>
              <w:t>N</w:t>
            </w:r>
          </w:p>
        </w:tc>
        <w:tc>
          <w:tcPr>
            <w:tcW w:w="207"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N</w:t>
            </w:r>
          </w:p>
        </w:tc>
        <w:tc>
          <w:tcPr>
            <w:tcW w:w="207"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N</w:t>
            </w:r>
          </w:p>
        </w:tc>
        <w:tc>
          <w:tcPr>
            <w:tcW w:w="575" w:type="pct"/>
            <w:tcBorders>
              <w:top w:val="single" w:sz="4" w:space="0" w:color="auto"/>
              <w:left w:val="nil"/>
              <w:bottom w:val="single" w:sz="4" w:space="0" w:color="auto"/>
              <w:right w:val="single" w:sz="4" w:space="0" w:color="auto"/>
            </w:tcBorders>
            <w:shd w:val="clear" w:color="auto" w:fill="FFFF00"/>
          </w:tcPr>
          <w:p w:rsidR="00C57017" w:rsidRDefault="00C57017">
            <w:pPr>
              <w:pStyle w:val="TAL"/>
              <w:spacing w:before="120" w:after="120"/>
              <w:rPr>
                <w:rFonts w:ascii="Times New Roman" w:hAnsi="Times New Roman"/>
                <w:color w:val="FF0000"/>
              </w:rPr>
            </w:pPr>
          </w:p>
        </w:tc>
        <w:tc>
          <w:tcPr>
            <w:tcW w:w="271" w:type="pct"/>
            <w:tcBorders>
              <w:top w:val="single" w:sz="4" w:space="0" w:color="auto"/>
              <w:left w:val="nil"/>
              <w:bottom w:val="single" w:sz="4" w:space="0" w:color="auto"/>
              <w:right w:val="single" w:sz="4" w:space="0" w:color="auto"/>
            </w:tcBorders>
          </w:tcPr>
          <w:p w:rsidR="00C57017" w:rsidRDefault="0099291D">
            <w:pPr>
              <w:pStyle w:val="TAL"/>
              <w:spacing w:before="120" w:after="120"/>
              <w:rPr>
                <w:rFonts w:ascii="Times New Roman" w:eastAsia="MS Mincho" w:hAnsi="Times New Roman"/>
                <w:color w:val="FF0000"/>
              </w:rPr>
            </w:pPr>
            <w:r>
              <w:rPr>
                <w:rFonts w:ascii="Times New Roman" w:hAnsi="Times New Roman"/>
                <w:color w:val="FF0000"/>
              </w:rPr>
              <w:t>Optional with capability signaling</w:t>
            </w:r>
          </w:p>
        </w:tc>
      </w:tr>
      <w:tr w:rsidR="00C57017">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29. NR_UE_pow_sav_enh</w:t>
            </w:r>
          </w:p>
        </w:tc>
        <w:tc>
          <w:tcPr>
            <w:tcW w:w="151"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[29-3c]</w:t>
            </w:r>
          </w:p>
        </w:tc>
        <w:tc>
          <w:tcPr>
            <w:tcW w:w="336"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3 search space sets group switching</w:t>
            </w:r>
          </w:p>
        </w:tc>
        <w:tc>
          <w:tcPr>
            <w:tcW w:w="1340" w:type="pct"/>
            <w:tcBorders>
              <w:top w:val="single" w:sz="4" w:space="0" w:color="auto"/>
              <w:left w:val="nil"/>
              <w:bottom w:val="single" w:sz="4" w:space="0" w:color="auto"/>
              <w:right w:val="single" w:sz="4" w:space="0" w:color="auto"/>
            </w:tcBorders>
            <w:shd w:val="clear" w:color="auto" w:fill="FFFF00"/>
          </w:tcPr>
          <w:p w:rsidR="00C57017" w:rsidRDefault="0099291D">
            <w:pPr>
              <w:keepNext/>
              <w:keepLines/>
              <w:widowControl w:val="0"/>
              <w:spacing w:before="120" w:after="120"/>
              <w:rPr>
                <w:strike/>
                <w:color w:val="FF0000"/>
                <w:sz w:val="18"/>
                <w:szCs w:val="18"/>
              </w:rPr>
            </w:pPr>
            <w:r>
              <w:rPr>
                <w:strike/>
                <w:color w:val="FF0000"/>
                <w:sz w:val="18"/>
                <w:szCs w:val="18"/>
              </w:rPr>
              <w:t>Support of 3 search space sets grouping switching</w:t>
            </w:r>
          </w:p>
          <w:p w:rsidR="00C57017" w:rsidRDefault="0099291D">
            <w:pPr>
              <w:keepNext/>
              <w:keepLines/>
              <w:widowControl w:val="0"/>
              <w:spacing w:before="120" w:after="120"/>
              <w:rPr>
                <w:rFonts w:eastAsia="MS Mincho"/>
                <w:color w:val="FF0000"/>
                <w:sz w:val="18"/>
                <w:szCs w:val="18"/>
              </w:rPr>
            </w:pPr>
            <w:r>
              <w:rPr>
                <w:color w:val="FF0000"/>
                <w:sz w:val="18"/>
                <w:szCs w:val="18"/>
              </w:rPr>
              <w:t>Support of 2-bit indication of SSSG switching among 3 SSSGs by scheduling DCI</w:t>
            </w:r>
            <w:r>
              <w:rPr>
                <w:rFonts w:eastAsia="MS Mincho"/>
                <w:color w:val="FF0000"/>
                <w:sz w:val="18"/>
                <w:szCs w:val="18"/>
              </w:rPr>
              <w:t xml:space="preserve"> and timer based switching </w:t>
            </w:r>
          </w:p>
          <w:p w:rsidR="00C57017" w:rsidRDefault="0099291D">
            <w:pPr>
              <w:keepNext/>
              <w:keepLines/>
              <w:widowControl w:val="0"/>
              <w:spacing w:before="120" w:after="120"/>
              <w:rPr>
                <w:rFonts w:eastAsia="MS Mincho"/>
                <w:color w:val="FF0000"/>
                <w:sz w:val="18"/>
                <w:szCs w:val="18"/>
              </w:rPr>
            </w:pPr>
            <w:r>
              <w:rPr>
                <w:rFonts w:eastAsia="MS Mincho"/>
                <w:color w:val="FF0000"/>
                <w:sz w:val="18"/>
                <w:szCs w:val="18"/>
              </w:rPr>
              <w:t>FFS whether to merge with 29-3b</w:t>
            </w:r>
          </w:p>
        </w:tc>
        <w:tc>
          <w:tcPr>
            <w:tcW w:w="264"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eastAsia="MS Mincho" w:hAnsi="Times New Roman"/>
                <w:color w:val="FF0000"/>
                <w:szCs w:val="18"/>
              </w:rPr>
            </w:pPr>
            <w:r>
              <w:rPr>
                <w:rFonts w:ascii="Times New Roman" w:hAnsi="Times New Roman"/>
                <w:color w:val="FF0000"/>
              </w:rPr>
              <w:t>29-3b</w:t>
            </w:r>
          </w:p>
        </w:tc>
        <w:tc>
          <w:tcPr>
            <w:tcW w:w="179"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Y</w:t>
            </w:r>
          </w:p>
        </w:tc>
        <w:tc>
          <w:tcPr>
            <w:tcW w:w="176" w:type="pct"/>
            <w:tcBorders>
              <w:top w:val="single" w:sz="4" w:space="0" w:color="auto"/>
              <w:left w:val="nil"/>
              <w:bottom w:val="single" w:sz="4" w:space="0" w:color="auto"/>
              <w:right w:val="single" w:sz="4" w:space="0" w:color="auto"/>
            </w:tcBorders>
            <w:shd w:val="clear" w:color="auto" w:fill="FFFF00"/>
          </w:tcPr>
          <w:p w:rsidR="00C57017" w:rsidRDefault="00C57017">
            <w:pPr>
              <w:pStyle w:val="TAL"/>
              <w:spacing w:before="120" w:after="120"/>
              <w:rPr>
                <w:rFonts w:ascii="Times New Roman" w:eastAsia="MS Mincho" w:hAnsi="Times New Roman"/>
                <w:color w:val="FF0000"/>
              </w:rPr>
            </w:pPr>
          </w:p>
        </w:tc>
        <w:tc>
          <w:tcPr>
            <w:tcW w:w="307" w:type="pct"/>
            <w:tcBorders>
              <w:top w:val="single" w:sz="4" w:space="0" w:color="auto"/>
              <w:left w:val="nil"/>
              <w:bottom w:val="single" w:sz="4" w:space="0" w:color="auto"/>
              <w:right w:val="single" w:sz="4" w:space="0" w:color="auto"/>
            </w:tcBorders>
            <w:shd w:val="clear" w:color="auto" w:fill="FFFF00"/>
          </w:tcPr>
          <w:p w:rsidR="00C57017" w:rsidRDefault="00C57017">
            <w:pPr>
              <w:pStyle w:val="TAL"/>
              <w:spacing w:before="120" w:after="120"/>
              <w:rPr>
                <w:rFonts w:ascii="Times New Roman" w:hAnsi="Times New Roman"/>
                <w:strike/>
                <w:color w:val="FF0000"/>
              </w:rPr>
            </w:pPr>
          </w:p>
        </w:tc>
        <w:tc>
          <w:tcPr>
            <w:tcW w:w="268"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Per UE</w:t>
            </w:r>
          </w:p>
        </w:tc>
        <w:tc>
          <w:tcPr>
            <w:tcW w:w="207"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eastAsia="MS Mincho" w:hAnsi="Times New Roman"/>
                <w:color w:val="FF0000"/>
              </w:rPr>
            </w:pPr>
            <w:r>
              <w:rPr>
                <w:rFonts w:ascii="Times New Roman" w:hAnsi="Times New Roman"/>
                <w:color w:val="FF0000"/>
              </w:rPr>
              <w:t>N</w:t>
            </w:r>
          </w:p>
        </w:tc>
        <w:tc>
          <w:tcPr>
            <w:tcW w:w="207"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N</w:t>
            </w:r>
          </w:p>
        </w:tc>
        <w:tc>
          <w:tcPr>
            <w:tcW w:w="207"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N</w:t>
            </w:r>
          </w:p>
        </w:tc>
        <w:tc>
          <w:tcPr>
            <w:tcW w:w="575" w:type="pct"/>
            <w:tcBorders>
              <w:top w:val="single" w:sz="4" w:space="0" w:color="auto"/>
              <w:left w:val="nil"/>
              <w:bottom w:val="single" w:sz="4" w:space="0" w:color="auto"/>
              <w:right w:val="single" w:sz="4" w:space="0" w:color="auto"/>
            </w:tcBorders>
            <w:shd w:val="clear" w:color="auto" w:fill="FFFF00"/>
          </w:tcPr>
          <w:p w:rsidR="00C57017" w:rsidRDefault="00C57017">
            <w:pPr>
              <w:pStyle w:val="TAL"/>
              <w:spacing w:before="120" w:after="120"/>
              <w:rPr>
                <w:rFonts w:ascii="Times New Roman" w:hAnsi="Times New Roman"/>
                <w:color w:val="FF0000"/>
              </w:rPr>
            </w:pPr>
          </w:p>
        </w:tc>
        <w:tc>
          <w:tcPr>
            <w:tcW w:w="271"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eastAsia="MS Mincho" w:hAnsi="Times New Roman"/>
                <w:color w:val="FF0000"/>
              </w:rPr>
            </w:pPr>
            <w:r>
              <w:rPr>
                <w:rFonts w:ascii="Times New Roman" w:hAnsi="Times New Roman"/>
                <w:color w:val="FF0000"/>
              </w:rPr>
              <w:t>Optional with capability signaling</w:t>
            </w:r>
          </w:p>
        </w:tc>
      </w:tr>
      <w:tr w:rsidR="00C57017">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29. NR_UE_pow_sav_enh</w:t>
            </w:r>
          </w:p>
        </w:tc>
        <w:tc>
          <w:tcPr>
            <w:tcW w:w="151"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[29-3d]</w:t>
            </w:r>
          </w:p>
        </w:tc>
        <w:tc>
          <w:tcPr>
            <w:tcW w:w="336"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2 search space sets group switching with PDCCH skipping</w:t>
            </w:r>
          </w:p>
        </w:tc>
        <w:tc>
          <w:tcPr>
            <w:tcW w:w="1340" w:type="pct"/>
            <w:tcBorders>
              <w:top w:val="single" w:sz="4" w:space="0" w:color="auto"/>
              <w:left w:val="nil"/>
              <w:bottom w:val="single" w:sz="4" w:space="0" w:color="auto"/>
              <w:right w:val="single" w:sz="4" w:space="0" w:color="auto"/>
            </w:tcBorders>
            <w:shd w:val="clear" w:color="auto" w:fill="FFFF00"/>
          </w:tcPr>
          <w:p w:rsidR="00C57017" w:rsidRDefault="0099291D">
            <w:pPr>
              <w:keepNext/>
              <w:keepLines/>
              <w:widowControl w:val="0"/>
              <w:spacing w:before="120" w:after="120"/>
              <w:rPr>
                <w:strike/>
                <w:color w:val="FF0000"/>
                <w:sz w:val="18"/>
                <w:szCs w:val="18"/>
              </w:rPr>
            </w:pPr>
            <w:r>
              <w:rPr>
                <w:strike/>
                <w:color w:val="FF0000"/>
                <w:sz w:val="18"/>
                <w:szCs w:val="18"/>
              </w:rPr>
              <w:t>Support of 2 search space sets grouping switching with PDCCH skipping</w:t>
            </w:r>
          </w:p>
          <w:p w:rsidR="00C57017" w:rsidRDefault="0099291D">
            <w:pPr>
              <w:keepNext/>
              <w:keepLines/>
              <w:widowControl w:val="0"/>
              <w:spacing w:before="120" w:after="120"/>
              <w:rPr>
                <w:color w:val="FF0000"/>
                <w:sz w:val="18"/>
                <w:szCs w:val="18"/>
              </w:rPr>
            </w:pPr>
            <w:r>
              <w:rPr>
                <w:color w:val="FF0000"/>
                <w:sz w:val="18"/>
                <w:szCs w:val="18"/>
              </w:rPr>
              <w:t xml:space="preserve">Support of 2-bit indication of SSSG switching between 2 SSSGs with PDCCH skipping by scheduling DCI </w:t>
            </w:r>
            <w:r>
              <w:rPr>
                <w:rFonts w:eastAsia="MS Mincho"/>
                <w:color w:val="FF0000"/>
                <w:sz w:val="18"/>
                <w:szCs w:val="18"/>
              </w:rPr>
              <w:t>and timer based switching</w:t>
            </w:r>
          </w:p>
        </w:tc>
        <w:tc>
          <w:tcPr>
            <w:tcW w:w="264"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eastAsia="MS Mincho" w:hAnsi="Times New Roman"/>
                <w:color w:val="FF0000"/>
                <w:szCs w:val="18"/>
              </w:rPr>
            </w:pPr>
            <w:r>
              <w:rPr>
                <w:rFonts w:ascii="Times New Roman" w:hAnsi="Times New Roman"/>
                <w:color w:val="FF0000"/>
              </w:rPr>
              <w:t>29-3a, 29-2b</w:t>
            </w:r>
          </w:p>
        </w:tc>
        <w:tc>
          <w:tcPr>
            <w:tcW w:w="179"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Y</w:t>
            </w:r>
          </w:p>
        </w:tc>
        <w:tc>
          <w:tcPr>
            <w:tcW w:w="176" w:type="pct"/>
            <w:tcBorders>
              <w:top w:val="single" w:sz="4" w:space="0" w:color="auto"/>
              <w:left w:val="nil"/>
              <w:bottom w:val="single" w:sz="4" w:space="0" w:color="auto"/>
              <w:right w:val="single" w:sz="4" w:space="0" w:color="auto"/>
            </w:tcBorders>
            <w:shd w:val="clear" w:color="auto" w:fill="FFFF00"/>
          </w:tcPr>
          <w:p w:rsidR="00C57017" w:rsidRDefault="00C57017">
            <w:pPr>
              <w:pStyle w:val="TAL"/>
              <w:spacing w:before="120" w:after="120"/>
              <w:rPr>
                <w:rFonts w:ascii="Times New Roman" w:eastAsia="MS Mincho" w:hAnsi="Times New Roman"/>
                <w:color w:val="FF0000"/>
              </w:rPr>
            </w:pPr>
          </w:p>
        </w:tc>
        <w:tc>
          <w:tcPr>
            <w:tcW w:w="307" w:type="pct"/>
            <w:tcBorders>
              <w:top w:val="single" w:sz="4" w:space="0" w:color="auto"/>
              <w:left w:val="nil"/>
              <w:bottom w:val="single" w:sz="4" w:space="0" w:color="auto"/>
              <w:right w:val="single" w:sz="4" w:space="0" w:color="auto"/>
            </w:tcBorders>
            <w:shd w:val="clear" w:color="auto" w:fill="FFFF00"/>
          </w:tcPr>
          <w:p w:rsidR="00C57017" w:rsidRDefault="00C57017">
            <w:pPr>
              <w:pStyle w:val="TAL"/>
              <w:spacing w:before="120" w:after="120"/>
              <w:rPr>
                <w:rFonts w:ascii="Times New Roman" w:hAnsi="Times New Roman"/>
                <w:strike/>
                <w:color w:val="FF0000"/>
              </w:rPr>
            </w:pPr>
          </w:p>
        </w:tc>
        <w:tc>
          <w:tcPr>
            <w:tcW w:w="268"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Per UE</w:t>
            </w:r>
          </w:p>
        </w:tc>
        <w:tc>
          <w:tcPr>
            <w:tcW w:w="207"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eastAsia="MS Mincho" w:hAnsi="Times New Roman"/>
                <w:color w:val="FF0000"/>
              </w:rPr>
            </w:pPr>
            <w:r>
              <w:rPr>
                <w:rFonts w:ascii="Times New Roman" w:hAnsi="Times New Roman"/>
                <w:color w:val="FF0000"/>
              </w:rPr>
              <w:t>N</w:t>
            </w:r>
          </w:p>
        </w:tc>
        <w:tc>
          <w:tcPr>
            <w:tcW w:w="207"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N</w:t>
            </w:r>
          </w:p>
        </w:tc>
        <w:tc>
          <w:tcPr>
            <w:tcW w:w="207"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hAnsi="Times New Roman"/>
                <w:color w:val="FF0000"/>
              </w:rPr>
            </w:pPr>
            <w:r>
              <w:rPr>
                <w:rFonts w:ascii="Times New Roman" w:hAnsi="Times New Roman"/>
                <w:color w:val="FF0000"/>
              </w:rPr>
              <w:t>N</w:t>
            </w:r>
          </w:p>
        </w:tc>
        <w:tc>
          <w:tcPr>
            <w:tcW w:w="575" w:type="pct"/>
            <w:tcBorders>
              <w:top w:val="single" w:sz="4" w:space="0" w:color="auto"/>
              <w:left w:val="nil"/>
              <w:bottom w:val="single" w:sz="4" w:space="0" w:color="auto"/>
              <w:right w:val="single" w:sz="4" w:space="0" w:color="auto"/>
            </w:tcBorders>
            <w:shd w:val="clear" w:color="auto" w:fill="FFFF00"/>
          </w:tcPr>
          <w:p w:rsidR="00C57017" w:rsidRDefault="00C57017">
            <w:pPr>
              <w:pStyle w:val="TAL"/>
              <w:spacing w:before="120" w:after="120"/>
              <w:rPr>
                <w:rFonts w:ascii="Times New Roman" w:hAnsi="Times New Roman"/>
                <w:color w:val="FF0000"/>
              </w:rPr>
            </w:pPr>
          </w:p>
        </w:tc>
        <w:tc>
          <w:tcPr>
            <w:tcW w:w="271" w:type="pct"/>
            <w:tcBorders>
              <w:top w:val="single" w:sz="4" w:space="0" w:color="auto"/>
              <w:left w:val="nil"/>
              <w:bottom w:val="single" w:sz="4" w:space="0" w:color="auto"/>
              <w:right w:val="single" w:sz="4" w:space="0" w:color="auto"/>
            </w:tcBorders>
            <w:shd w:val="clear" w:color="auto" w:fill="FFFF00"/>
          </w:tcPr>
          <w:p w:rsidR="00C57017" w:rsidRDefault="0099291D">
            <w:pPr>
              <w:pStyle w:val="TAL"/>
              <w:spacing w:before="120" w:after="120"/>
              <w:rPr>
                <w:rFonts w:ascii="Times New Roman" w:eastAsia="MS Mincho" w:hAnsi="Times New Roman"/>
                <w:color w:val="FF0000"/>
              </w:rPr>
            </w:pPr>
            <w:r>
              <w:rPr>
                <w:rFonts w:ascii="Times New Roman" w:hAnsi="Times New Roman"/>
                <w:color w:val="FF0000"/>
              </w:rPr>
              <w:t>Optional with capability signaling</w:t>
            </w:r>
          </w:p>
        </w:tc>
      </w:tr>
    </w:tbl>
    <w:p w:rsidR="00C57017" w:rsidRPr="00D63234" w:rsidRDefault="0099291D" w:rsidP="00D63234">
      <w:pPr>
        <w:spacing w:before="120" w:after="120"/>
        <w:rPr>
          <w:rFonts w:eastAsiaTheme="minorEastAsia" w:hint="eastAsia"/>
          <w:sz w:val="22"/>
          <w:szCs w:val="22"/>
        </w:rPr>
      </w:pPr>
      <w:r>
        <w:rPr>
          <w:rFonts w:eastAsia="MS PGothic"/>
          <w:color w:val="000000"/>
        </w:rPr>
        <w:t>Note that any contents highlighted in yellow mean FFS and to be discussed further.</w:t>
      </w:r>
      <w:bookmarkStart w:id="6" w:name="_GoBack"/>
      <w:bookmarkEnd w:id="6"/>
    </w:p>
    <w:sectPr w:rsidR="00C57017" w:rsidRPr="00D63234">
      <w:pgSz w:w="23814" w:h="16840" w:orient="landscape"/>
      <w:pgMar w:top="1378" w:right="1440" w:bottom="1202"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D93" w:rsidRDefault="00165D93">
      <w:pPr>
        <w:spacing w:before="120" w:after="120" w:line="240" w:lineRule="auto"/>
      </w:pPr>
      <w:r>
        <w:separator/>
      </w:r>
    </w:p>
  </w:endnote>
  <w:endnote w:type="continuationSeparator" w:id="0">
    <w:p w:rsidR="00165D93" w:rsidRDefault="00165D9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017" w:rsidRDefault="00C57017">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017" w:rsidRDefault="0099291D">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57017" w:rsidRDefault="0099291D">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D63234">
                            <w:rPr>
                              <w:noProof/>
                            </w:rP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57017" w:rsidRDefault="0099291D">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D63234">
                      <w:rPr>
                        <w:noProof/>
                      </w:rPr>
                      <w:t>4</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017" w:rsidRDefault="00C57017">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D93" w:rsidRDefault="00165D93">
      <w:pPr>
        <w:spacing w:before="120" w:after="120"/>
      </w:pPr>
      <w:r>
        <w:separator/>
      </w:r>
    </w:p>
  </w:footnote>
  <w:footnote w:type="continuationSeparator" w:id="0">
    <w:p w:rsidR="00165D93" w:rsidRDefault="00165D93">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017" w:rsidRDefault="00C57017">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017" w:rsidRDefault="00C57017">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017" w:rsidRDefault="00C57017">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10582E66"/>
    <w:multiLevelType w:val="multilevel"/>
    <w:tmpl w:val="10582E6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96A01BF"/>
    <w:multiLevelType w:val="multilevel"/>
    <w:tmpl w:val="296A01B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nsid w:val="55B25134"/>
    <w:multiLevelType w:val="multilevel"/>
    <w:tmpl w:val="55B25134"/>
    <w:lvl w:ilvl="0">
      <w:start w:val="1"/>
      <w:numFmt w:val="bullet"/>
      <w:lvlText w:val=""/>
      <w:lvlJc w:val="left"/>
      <w:pPr>
        <w:ind w:left="108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487579D"/>
    <w:multiLevelType w:val="multilevel"/>
    <w:tmpl w:val="6487579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10"/>
  </w:num>
  <w:num w:numId="5">
    <w:abstractNumId w:val="1"/>
  </w:num>
  <w:num w:numId="6">
    <w:abstractNumId w:val="7"/>
  </w:num>
  <w:num w:numId="7">
    <w:abstractNumId w:val="6"/>
  </w:num>
  <w:num w:numId="8">
    <w:abstractNumId w:val="5"/>
  </w:num>
  <w:num w:numId="9">
    <w:abstractNumId w:val="8"/>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E89"/>
    <w:rsid w:val="00013735"/>
    <w:rsid w:val="00015154"/>
    <w:rsid w:val="00015BFB"/>
    <w:rsid w:val="00015EDB"/>
    <w:rsid w:val="00026E93"/>
    <w:rsid w:val="0003215A"/>
    <w:rsid w:val="00042E39"/>
    <w:rsid w:val="0004491B"/>
    <w:rsid w:val="00060CEE"/>
    <w:rsid w:val="00064D22"/>
    <w:rsid w:val="00064ECF"/>
    <w:rsid w:val="0007635D"/>
    <w:rsid w:val="00080105"/>
    <w:rsid w:val="00087BA2"/>
    <w:rsid w:val="000A0061"/>
    <w:rsid w:val="000A6B3B"/>
    <w:rsid w:val="000B1CF7"/>
    <w:rsid w:val="000B63CC"/>
    <w:rsid w:val="000C74F7"/>
    <w:rsid w:val="000C7C50"/>
    <w:rsid w:val="000D26FB"/>
    <w:rsid w:val="000E501F"/>
    <w:rsid w:val="000F65FF"/>
    <w:rsid w:val="000F72AD"/>
    <w:rsid w:val="001034DA"/>
    <w:rsid w:val="00104216"/>
    <w:rsid w:val="0010617D"/>
    <w:rsid w:val="001163CA"/>
    <w:rsid w:val="001452CB"/>
    <w:rsid w:val="001506E9"/>
    <w:rsid w:val="00165D93"/>
    <w:rsid w:val="00166DD7"/>
    <w:rsid w:val="00172A27"/>
    <w:rsid w:val="0019443E"/>
    <w:rsid w:val="001B6A16"/>
    <w:rsid w:val="001C396E"/>
    <w:rsid w:val="001D042C"/>
    <w:rsid w:val="001E68D2"/>
    <w:rsid w:val="001F6FBD"/>
    <w:rsid w:val="00200427"/>
    <w:rsid w:val="002040EC"/>
    <w:rsid w:val="00204BEB"/>
    <w:rsid w:val="00217072"/>
    <w:rsid w:val="002217CD"/>
    <w:rsid w:val="002254E5"/>
    <w:rsid w:val="00245899"/>
    <w:rsid w:val="002517EA"/>
    <w:rsid w:val="00262D31"/>
    <w:rsid w:val="00266EB2"/>
    <w:rsid w:val="0026734A"/>
    <w:rsid w:val="00272E7B"/>
    <w:rsid w:val="00291E13"/>
    <w:rsid w:val="00292BDC"/>
    <w:rsid w:val="002A1851"/>
    <w:rsid w:val="002A284B"/>
    <w:rsid w:val="002B29E4"/>
    <w:rsid w:val="002B3F85"/>
    <w:rsid w:val="002B4EB7"/>
    <w:rsid w:val="002B532D"/>
    <w:rsid w:val="002B6BD7"/>
    <w:rsid w:val="002D7B6E"/>
    <w:rsid w:val="002F25AA"/>
    <w:rsid w:val="002F5865"/>
    <w:rsid w:val="003007B3"/>
    <w:rsid w:val="00300F18"/>
    <w:rsid w:val="003027A7"/>
    <w:rsid w:val="00303048"/>
    <w:rsid w:val="00331B1C"/>
    <w:rsid w:val="00331EF2"/>
    <w:rsid w:val="00334743"/>
    <w:rsid w:val="00345B55"/>
    <w:rsid w:val="00354570"/>
    <w:rsid w:val="003558E6"/>
    <w:rsid w:val="00367434"/>
    <w:rsid w:val="00367EF9"/>
    <w:rsid w:val="0037064B"/>
    <w:rsid w:val="00370C23"/>
    <w:rsid w:val="00371CBB"/>
    <w:rsid w:val="00375A07"/>
    <w:rsid w:val="003766C6"/>
    <w:rsid w:val="00377BC5"/>
    <w:rsid w:val="00380742"/>
    <w:rsid w:val="00396ADB"/>
    <w:rsid w:val="003A103D"/>
    <w:rsid w:val="003A7E56"/>
    <w:rsid w:val="003B1149"/>
    <w:rsid w:val="003B217C"/>
    <w:rsid w:val="003C31D2"/>
    <w:rsid w:val="003D1DD7"/>
    <w:rsid w:val="003E38AE"/>
    <w:rsid w:val="003E4BBB"/>
    <w:rsid w:val="003F73CB"/>
    <w:rsid w:val="004265D0"/>
    <w:rsid w:val="004326F4"/>
    <w:rsid w:val="00441FB9"/>
    <w:rsid w:val="00452AB6"/>
    <w:rsid w:val="00453986"/>
    <w:rsid w:val="0045623B"/>
    <w:rsid w:val="00461AA7"/>
    <w:rsid w:val="00476112"/>
    <w:rsid w:val="00496216"/>
    <w:rsid w:val="004A5821"/>
    <w:rsid w:val="004B3A5E"/>
    <w:rsid w:val="004C05FA"/>
    <w:rsid w:val="004C1151"/>
    <w:rsid w:val="004C1173"/>
    <w:rsid w:val="004C7FE3"/>
    <w:rsid w:val="004D17C0"/>
    <w:rsid w:val="004F1990"/>
    <w:rsid w:val="004F342B"/>
    <w:rsid w:val="004F7324"/>
    <w:rsid w:val="00503141"/>
    <w:rsid w:val="00517339"/>
    <w:rsid w:val="005212D2"/>
    <w:rsid w:val="005228C9"/>
    <w:rsid w:val="00522A39"/>
    <w:rsid w:val="005240E5"/>
    <w:rsid w:val="0052589E"/>
    <w:rsid w:val="005420CA"/>
    <w:rsid w:val="005436CE"/>
    <w:rsid w:val="005439D4"/>
    <w:rsid w:val="00546231"/>
    <w:rsid w:val="005463C8"/>
    <w:rsid w:val="005650A3"/>
    <w:rsid w:val="00566FDE"/>
    <w:rsid w:val="0057277B"/>
    <w:rsid w:val="005802EF"/>
    <w:rsid w:val="00583697"/>
    <w:rsid w:val="0058704C"/>
    <w:rsid w:val="00591149"/>
    <w:rsid w:val="005940DB"/>
    <w:rsid w:val="00597ADE"/>
    <w:rsid w:val="005A26DD"/>
    <w:rsid w:val="005A752A"/>
    <w:rsid w:val="005B065E"/>
    <w:rsid w:val="005B0D3F"/>
    <w:rsid w:val="005D14DB"/>
    <w:rsid w:val="005E6D49"/>
    <w:rsid w:val="005F1A12"/>
    <w:rsid w:val="005F3D0F"/>
    <w:rsid w:val="0062153B"/>
    <w:rsid w:val="0062167D"/>
    <w:rsid w:val="00633C6F"/>
    <w:rsid w:val="0063757E"/>
    <w:rsid w:val="006432A2"/>
    <w:rsid w:val="00643612"/>
    <w:rsid w:val="00645E5F"/>
    <w:rsid w:val="006733C4"/>
    <w:rsid w:val="00677C91"/>
    <w:rsid w:val="0068648D"/>
    <w:rsid w:val="006970AA"/>
    <w:rsid w:val="006A072C"/>
    <w:rsid w:val="006A2A6A"/>
    <w:rsid w:val="006B10CB"/>
    <w:rsid w:val="006B63E2"/>
    <w:rsid w:val="006C61BF"/>
    <w:rsid w:val="006D3CB8"/>
    <w:rsid w:val="006D42B1"/>
    <w:rsid w:val="006E69D1"/>
    <w:rsid w:val="006F0B4C"/>
    <w:rsid w:val="00711D48"/>
    <w:rsid w:val="00713810"/>
    <w:rsid w:val="00715B8C"/>
    <w:rsid w:val="007166E8"/>
    <w:rsid w:val="0074089D"/>
    <w:rsid w:val="007476DD"/>
    <w:rsid w:val="007521D6"/>
    <w:rsid w:val="00781710"/>
    <w:rsid w:val="00795FC2"/>
    <w:rsid w:val="00796ACD"/>
    <w:rsid w:val="007A0C1E"/>
    <w:rsid w:val="007A24B9"/>
    <w:rsid w:val="007A5CFF"/>
    <w:rsid w:val="007B0734"/>
    <w:rsid w:val="007B379C"/>
    <w:rsid w:val="007B6F85"/>
    <w:rsid w:val="007C2A55"/>
    <w:rsid w:val="007C2CEC"/>
    <w:rsid w:val="007C5F99"/>
    <w:rsid w:val="007C6A0A"/>
    <w:rsid w:val="007E53B8"/>
    <w:rsid w:val="007F5FF3"/>
    <w:rsid w:val="007F6B9D"/>
    <w:rsid w:val="008026B7"/>
    <w:rsid w:val="008100B9"/>
    <w:rsid w:val="00812554"/>
    <w:rsid w:val="00817DE9"/>
    <w:rsid w:val="00830ED1"/>
    <w:rsid w:val="00832CF6"/>
    <w:rsid w:val="008345EB"/>
    <w:rsid w:val="00834F88"/>
    <w:rsid w:val="00847916"/>
    <w:rsid w:val="008507C5"/>
    <w:rsid w:val="008543FC"/>
    <w:rsid w:val="00856229"/>
    <w:rsid w:val="00862777"/>
    <w:rsid w:val="008632D8"/>
    <w:rsid w:val="008642E5"/>
    <w:rsid w:val="008650A2"/>
    <w:rsid w:val="008660F3"/>
    <w:rsid w:val="0087435E"/>
    <w:rsid w:val="008755EB"/>
    <w:rsid w:val="008776C3"/>
    <w:rsid w:val="00880E89"/>
    <w:rsid w:val="00894AD9"/>
    <w:rsid w:val="008A0205"/>
    <w:rsid w:val="008B2756"/>
    <w:rsid w:val="008B7017"/>
    <w:rsid w:val="008B70CE"/>
    <w:rsid w:val="008B7CB0"/>
    <w:rsid w:val="008B7DB1"/>
    <w:rsid w:val="008C1A97"/>
    <w:rsid w:val="008C3050"/>
    <w:rsid w:val="008C329B"/>
    <w:rsid w:val="008C72D3"/>
    <w:rsid w:val="008D1D47"/>
    <w:rsid w:val="008D230F"/>
    <w:rsid w:val="008D38A0"/>
    <w:rsid w:val="008D54B2"/>
    <w:rsid w:val="008E0B96"/>
    <w:rsid w:val="008E587D"/>
    <w:rsid w:val="008E617E"/>
    <w:rsid w:val="008F11DE"/>
    <w:rsid w:val="008F1A9F"/>
    <w:rsid w:val="0090147B"/>
    <w:rsid w:val="009039E7"/>
    <w:rsid w:val="00922F23"/>
    <w:rsid w:val="00924149"/>
    <w:rsid w:val="00930332"/>
    <w:rsid w:val="00931643"/>
    <w:rsid w:val="009339F6"/>
    <w:rsid w:val="00944325"/>
    <w:rsid w:val="00953CDE"/>
    <w:rsid w:val="00955173"/>
    <w:rsid w:val="0096044C"/>
    <w:rsid w:val="00971087"/>
    <w:rsid w:val="0099291D"/>
    <w:rsid w:val="00992CAA"/>
    <w:rsid w:val="0099436F"/>
    <w:rsid w:val="009944AA"/>
    <w:rsid w:val="009C6715"/>
    <w:rsid w:val="009D1C4D"/>
    <w:rsid w:val="009D1E4F"/>
    <w:rsid w:val="009E3CEF"/>
    <w:rsid w:val="009F38E2"/>
    <w:rsid w:val="009F6042"/>
    <w:rsid w:val="00A027EF"/>
    <w:rsid w:val="00A02943"/>
    <w:rsid w:val="00A06031"/>
    <w:rsid w:val="00A12F88"/>
    <w:rsid w:val="00A14FF2"/>
    <w:rsid w:val="00A4166A"/>
    <w:rsid w:val="00A46CC4"/>
    <w:rsid w:val="00A57F9E"/>
    <w:rsid w:val="00A6710E"/>
    <w:rsid w:val="00A878AE"/>
    <w:rsid w:val="00A92636"/>
    <w:rsid w:val="00A941B0"/>
    <w:rsid w:val="00A95BB1"/>
    <w:rsid w:val="00A97EA7"/>
    <w:rsid w:val="00AA6E04"/>
    <w:rsid w:val="00AB783D"/>
    <w:rsid w:val="00AD4752"/>
    <w:rsid w:val="00AE5669"/>
    <w:rsid w:val="00AF797D"/>
    <w:rsid w:val="00AF7C15"/>
    <w:rsid w:val="00B31179"/>
    <w:rsid w:val="00B423EC"/>
    <w:rsid w:val="00B53D0E"/>
    <w:rsid w:val="00B66332"/>
    <w:rsid w:val="00B80549"/>
    <w:rsid w:val="00B81A6F"/>
    <w:rsid w:val="00B9484C"/>
    <w:rsid w:val="00BA36D8"/>
    <w:rsid w:val="00BA715F"/>
    <w:rsid w:val="00BA755E"/>
    <w:rsid w:val="00BC22AE"/>
    <w:rsid w:val="00BD47B2"/>
    <w:rsid w:val="00BD52A6"/>
    <w:rsid w:val="00BD6309"/>
    <w:rsid w:val="00BD7A04"/>
    <w:rsid w:val="00BE5EFB"/>
    <w:rsid w:val="00BE641D"/>
    <w:rsid w:val="00BE7533"/>
    <w:rsid w:val="00BF1E7C"/>
    <w:rsid w:val="00BF4B0E"/>
    <w:rsid w:val="00C039ED"/>
    <w:rsid w:val="00C134B6"/>
    <w:rsid w:val="00C137DB"/>
    <w:rsid w:val="00C166BC"/>
    <w:rsid w:val="00C169EE"/>
    <w:rsid w:val="00C22826"/>
    <w:rsid w:val="00C239A8"/>
    <w:rsid w:val="00C25E45"/>
    <w:rsid w:val="00C27740"/>
    <w:rsid w:val="00C36366"/>
    <w:rsid w:val="00C37341"/>
    <w:rsid w:val="00C406CC"/>
    <w:rsid w:val="00C40ABE"/>
    <w:rsid w:val="00C45BEF"/>
    <w:rsid w:val="00C57017"/>
    <w:rsid w:val="00C637DC"/>
    <w:rsid w:val="00C654A1"/>
    <w:rsid w:val="00C71BD6"/>
    <w:rsid w:val="00C774C8"/>
    <w:rsid w:val="00C96786"/>
    <w:rsid w:val="00CA1DBD"/>
    <w:rsid w:val="00CA3A7A"/>
    <w:rsid w:val="00CA6701"/>
    <w:rsid w:val="00CB2B6E"/>
    <w:rsid w:val="00CB7131"/>
    <w:rsid w:val="00CC4532"/>
    <w:rsid w:val="00CD3761"/>
    <w:rsid w:val="00CE1AD7"/>
    <w:rsid w:val="00D01D40"/>
    <w:rsid w:val="00D20A97"/>
    <w:rsid w:val="00D26B1F"/>
    <w:rsid w:val="00D40D43"/>
    <w:rsid w:val="00D50681"/>
    <w:rsid w:val="00D50800"/>
    <w:rsid w:val="00D5419E"/>
    <w:rsid w:val="00D5574F"/>
    <w:rsid w:val="00D62C07"/>
    <w:rsid w:val="00D63234"/>
    <w:rsid w:val="00D70ECB"/>
    <w:rsid w:val="00D9244A"/>
    <w:rsid w:val="00D943BD"/>
    <w:rsid w:val="00DA5F51"/>
    <w:rsid w:val="00DB0ACF"/>
    <w:rsid w:val="00DB141F"/>
    <w:rsid w:val="00DB6BD7"/>
    <w:rsid w:val="00DC0F8B"/>
    <w:rsid w:val="00DD2A5E"/>
    <w:rsid w:val="00DD4B55"/>
    <w:rsid w:val="00DD7700"/>
    <w:rsid w:val="00DE57DB"/>
    <w:rsid w:val="00DF41A9"/>
    <w:rsid w:val="00E06B21"/>
    <w:rsid w:val="00E138C3"/>
    <w:rsid w:val="00E2140B"/>
    <w:rsid w:val="00E31E1F"/>
    <w:rsid w:val="00E40E07"/>
    <w:rsid w:val="00E52232"/>
    <w:rsid w:val="00E553FD"/>
    <w:rsid w:val="00E56DD3"/>
    <w:rsid w:val="00E61B28"/>
    <w:rsid w:val="00E62A3D"/>
    <w:rsid w:val="00E67314"/>
    <w:rsid w:val="00E77887"/>
    <w:rsid w:val="00E85B8C"/>
    <w:rsid w:val="00EA4E8D"/>
    <w:rsid w:val="00EA62E5"/>
    <w:rsid w:val="00EA76D3"/>
    <w:rsid w:val="00EB7C8F"/>
    <w:rsid w:val="00EC0827"/>
    <w:rsid w:val="00EC4B0B"/>
    <w:rsid w:val="00ED4978"/>
    <w:rsid w:val="00EE3B8C"/>
    <w:rsid w:val="00EE558D"/>
    <w:rsid w:val="00F01154"/>
    <w:rsid w:val="00F27A91"/>
    <w:rsid w:val="00F310FE"/>
    <w:rsid w:val="00F4095D"/>
    <w:rsid w:val="00F40E52"/>
    <w:rsid w:val="00F60223"/>
    <w:rsid w:val="00F73ECD"/>
    <w:rsid w:val="00F765F4"/>
    <w:rsid w:val="00F958CC"/>
    <w:rsid w:val="00F97C0B"/>
    <w:rsid w:val="00FA3BED"/>
    <w:rsid w:val="00FA552B"/>
    <w:rsid w:val="00FA62E6"/>
    <w:rsid w:val="00FB5ABE"/>
    <w:rsid w:val="00FD2DE4"/>
    <w:rsid w:val="00FE01EF"/>
    <w:rsid w:val="00FE4365"/>
    <w:rsid w:val="00FE7CF0"/>
    <w:rsid w:val="00FF1E19"/>
    <w:rsid w:val="00FF2B35"/>
    <w:rsid w:val="01166C39"/>
    <w:rsid w:val="011C748B"/>
    <w:rsid w:val="01307DB8"/>
    <w:rsid w:val="01764F01"/>
    <w:rsid w:val="019E0494"/>
    <w:rsid w:val="01BC6EAA"/>
    <w:rsid w:val="01BD387A"/>
    <w:rsid w:val="01EA1306"/>
    <w:rsid w:val="01ED62FC"/>
    <w:rsid w:val="01FD3C72"/>
    <w:rsid w:val="022371D7"/>
    <w:rsid w:val="024D6B6A"/>
    <w:rsid w:val="02585A0D"/>
    <w:rsid w:val="026B46B1"/>
    <w:rsid w:val="029B04E7"/>
    <w:rsid w:val="02B53888"/>
    <w:rsid w:val="02F172AC"/>
    <w:rsid w:val="03073BDC"/>
    <w:rsid w:val="032134E9"/>
    <w:rsid w:val="033F44DC"/>
    <w:rsid w:val="037B5FB5"/>
    <w:rsid w:val="03915DEB"/>
    <w:rsid w:val="03985ACE"/>
    <w:rsid w:val="03D4716A"/>
    <w:rsid w:val="042900C9"/>
    <w:rsid w:val="04A45057"/>
    <w:rsid w:val="04EE0CCB"/>
    <w:rsid w:val="0555228E"/>
    <w:rsid w:val="055870D1"/>
    <w:rsid w:val="056C3AED"/>
    <w:rsid w:val="058A1330"/>
    <w:rsid w:val="059D1E39"/>
    <w:rsid w:val="05E078B3"/>
    <w:rsid w:val="064035FC"/>
    <w:rsid w:val="066F1ED1"/>
    <w:rsid w:val="06D01934"/>
    <w:rsid w:val="070C599D"/>
    <w:rsid w:val="07250881"/>
    <w:rsid w:val="072B5A2B"/>
    <w:rsid w:val="07322F8B"/>
    <w:rsid w:val="07587973"/>
    <w:rsid w:val="075E42FF"/>
    <w:rsid w:val="077D0583"/>
    <w:rsid w:val="077E373B"/>
    <w:rsid w:val="079724D0"/>
    <w:rsid w:val="07A3082E"/>
    <w:rsid w:val="082A352F"/>
    <w:rsid w:val="084343C9"/>
    <w:rsid w:val="084D0ADD"/>
    <w:rsid w:val="084E1E18"/>
    <w:rsid w:val="08581907"/>
    <w:rsid w:val="088E2DBB"/>
    <w:rsid w:val="089D5DBC"/>
    <w:rsid w:val="08B05670"/>
    <w:rsid w:val="08C349D1"/>
    <w:rsid w:val="08C805D7"/>
    <w:rsid w:val="08CC0D13"/>
    <w:rsid w:val="08FE46C5"/>
    <w:rsid w:val="09082337"/>
    <w:rsid w:val="093D6246"/>
    <w:rsid w:val="094A5FC4"/>
    <w:rsid w:val="0993533A"/>
    <w:rsid w:val="09BE4947"/>
    <w:rsid w:val="09F67CD5"/>
    <w:rsid w:val="0A7B50B4"/>
    <w:rsid w:val="0A8A3FFF"/>
    <w:rsid w:val="0B3D5147"/>
    <w:rsid w:val="0B6B20A7"/>
    <w:rsid w:val="0B9E71DF"/>
    <w:rsid w:val="0BB427D1"/>
    <w:rsid w:val="0BCD5C26"/>
    <w:rsid w:val="0BF10670"/>
    <w:rsid w:val="0C6F272A"/>
    <w:rsid w:val="0C9036C8"/>
    <w:rsid w:val="0C9D30C2"/>
    <w:rsid w:val="0CA126F2"/>
    <w:rsid w:val="0CEA509E"/>
    <w:rsid w:val="0D2F3891"/>
    <w:rsid w:val="0D426E1A"/>
    <w:rsid w:val="0D9D65F4"/>
    <w:rsid w:val="0DEE7CA5"/>
    <w:rsid w:val="0E172BD0"/>
    <w:rsid w:val="0E347579"/>
    <w:rsid w:val="0E6A1ECE"/>
    <w:rsid w:val="0E8F0168"/>
    <w:rsid w:val="0E9B4F32"/>
    <w:rsid w:val="0EC02D89"/>
    <w:rsid w:val="0EC34966"/>
    <w:rsid w:val="0F0B4FFE"/>
    <w:rsid w:val="0F123F4C"/>
    <w:rsid w:val="0F1E67DB"/>
    <w:rsid w:val="0F9861DB"/>
    <w:rsid w:val="0FA67E91"/>
    <w:rsid w:val="0FD80B60"/>
    <w:rsid w:val="0FDB5B48"/>
    <w:rsid w:val="104211B7"/>
    <w:rsid w:val="10860503"/>
    <w:rsid w:val="109076CE"/>
    <w:rsid w:val="10A50104"/>
    <w:rsid w:val="10A85FA8"/>
    <w:rsid w:val="10B658BE"/>
    <w:rsid w:val="10BA5ACA"/>
    <w:rsid w:val="10C92880"/>
    <w:rsid w:val="10FA22E3"/>
    <w:rsid w:val="115B3410"/>
    <w:rsid w:val="117A531D"/>
    <w:rsid w:val="119D7849"/>
    <w:rsid w:val="11AC1F75"/>
    <w:rsid w:val="122658B9"/>
    <w:rsid w:val="1242135C"/>
    <w:rsid w:val="1256212E"/>
    <w:rsid w:val="12AE3906"/>
    <w:rsid w:val="12C76FC6"/>
    <w:rsid w:val="12CB14EC"/>
    <w:rsid w:val="12D00DD7"/>
    <w:rsid w:val="13344428"/>
    <w:rsid w:val="133C5CE2"/>
    <w:rsid w:val="133F535B"/>
    <w:rsid w:val="13660260"/>
    <w:rsid w:val="136C3D77"/>
    <w:rsid w:val="139D335C"/>
    <w:rsid w:val="13A1683F"/>
    <w:rsid w:val="13C2790D"/>
    <w:rsid w:val="13E5601F"/>
    <w:rsid w:val="141B6583"/>
    <w:rsid w:val="14400B3F"/>
    <w:rsid w:val="1442596B"/>
    <w:rsid w:val="144714E3"/>
    <w:rsid w:val="146A0337"/>
    <w:rsid w:val="14AC00B9"/>
    <w:rsid w:val="14D55B5C"/>
    <w:rsid w:val="14DA3DA1"/>
    <w:rsid w:val="14FC2402"/>
    <w:rsid w:val="1505370E"/>
    <w:rsid w:val="15284EB8"/>
    <w:rsid w:val="155F3495"/>
    <w:rsid w:val="15BB7E2E"/>
    <w:rsid w:val="164B2296"/>
    <w:rsid w:val="17025890"/>
    <w:rsid w:val="17155857"/>
    <w:rsid w:val="173B456E"/>
    <w:rsid w:val="17950508"/>
    <w:rsid w:val="17C72718"/>
    <w:rsid w:val="18537599"/>
    <w:rsid w:val="18551679"/>
    <w:rsid w:val="188D68E8"/>
    <w:rsid w:val="189C69D9"/>
    <w:rsid w:val="18A34D06"/>
    <w:rsid w:val="18A72928"/>
    <w:rsid w:val="18C87C77"/>
    <w:rsid w:val="18F90C9A"/>
    <w:rsid w:val="19010C43"/>
    <w:rsid w:val="19013AC7"/>
    <w:rsid w:val="19084C73"/>
    <w:rsid w:val="194A0457"/>
    <w:rsid w:val="194F6F37"/>
    <w:rsid w:val="196018AD"/>
    <w:rsid w:val="196E5824"/>
    <w:rsid w:val="19713DD4"/>
    <w:rsid w:val="19AF5AFD"/>
    <w:rsid w:val="19BF7943"/>
    <w:rsid w:val="1A054259"/>
    <w:rsid w:val="1A097942"/>
    <w:rsid w:val="1ACB6909"/>
    <w:rsid w:val="1B0152D1"/>
    <w:rsid w:val="1B2B6940"/>
    <w:rsid w:val="1B5838BD"/>
    <w:rsid w:val="1B7F6005"/>
    <w:rsid w:val="1BA05608"/>
    <w:rsid w:val="1BAF4E35"/>
    <w:rsid w:val="1BAF6DD1"/>
    <w:rsid w:val="1BE82D8F"/>
    <w:rsid w:val="1C0F5C4A"/>
    <w:rsid w:val="1C132CB9"/>
    <w:rsid w:val="1C346C57"/>
    <w:rsid w:val="1CAA2901"/>
    <w:rsid w:val="1CB92F89"/>
    <w:rsid w:val="1CCC26CA"/>
    <w:rsid w:val="1D133E21"/>
    <w:rsid w:val="1D3A10D4"/>
    <w:rsid w:val="1D6041FB"/>
    <w:rsid w:val="1D61520F"/>
    <w:rsid w:val="1D786BCA"/>
    <w:rsid w:val="1D805936"/>
    <w:rsid w:val="1D843FB0"/>
    <w:rsid w:val="1DA83A0D"/>
    <w:rsid w:val="1DDF2ACE"/>
    <w:rsid w:val="1E94181D"/>
    <w:rsid w:val="1E9D6342"/>
    <w:rsid w:val="1EBF09C1"/>
    <w:rsid w:val="1ECD4B11"/>
    <w:rsid w:val="1ED879BC"/>
    <w:rsid w:val="1EED420F"/>
    <w:rsid w:val="1EF17B6F"/>
    <w:rsid w:val="1F6170A9"/>
    <w:rsid w:val="1F6200DE"/>
    <w:rsid w:val="1F652C38"/>
    <w:rsid w:val="1F9C5BBE"/>
    <w:rsid w:val="1FE14460"/>
    <w:rsid w:val="20200CA4"/>
    <w:rsid w:val="203063E1"/>
    <w:rsid w:val="204E6676"/>
    <w:rsid w:val="205C6F65"/>
    <w:rsid w:val="205F334B"/>
    <w:rsid w:val="20AA7DFE"/>
    <w:rsid w:val="20CB576A"/>
    <w:rsid w:val="20DC4C14"/>
    <w:rsid w:val="210634E6"/>
    <w:rsid w:val="21241A3D"/>
    <w:rsid w:val="215416B9"/>
    <w:rsid w:val="21822343"/>
    <w:rsid w:val="2194141D"/>
    <w:rsid w:val="2195668B"/>
    <w:rsid w:val="21A2535F"/>
    <w:rsid w:val="21A9601A"/>
    <w:rsid w:val="21AC0BE7"/>
    <w:rsid w:val="21BE044A"/>
    <w:rsid w:val="21BE5AD4"/>
    <w:rsid w:val="21CA2BAC"/>
    <w:rsid w:val="224E2FB0"/>
    <w:rsid w:val="22C84A78"/>
    <w:rsid w:val="23081A49"/>
    <w:rsid w:val="23460B97"/>
    <w:rsid w:val="23A82A04"/>
    <w:rsid w:val="23D11AFC"/>
    <w:rsid w:val="24210188"/>
    <w:rsid w:val="243066C8"/>
    <w:rsid w:val="24582DBC"/>
    <w:rsid w:val="245C52F8"/>
    <w:rsid w:val="2463385E"/>
    <w:rsid w:val="24B3612C"/>
    <w:rsid w:val="24CB3B1A"/>
    <w:rsid w:val="24DC7AA4"/>
    <w:rsid w:val="24EF3B79"/>
    <w:rsid w:val="250D568B"/>
    <w:rsid w:val="25134332"/>
    <w:rsid w:val="25191F5C"/>
    <w:rsid w:val="251E5D80"/>
    <w:rsid w:val="254C3941"/>
    <w:rsid w:val="25572F6C"/>
    <w:rsid w:val="256555F8"/>
    <w:rsid w:val="257E508F"/>
    <w:rsid w:val="25AA2ADA"/>
    <w:rsid w:val="25BF0A19"/>
    <w:rsid w:val="25CA37BB"/>
    <w:rsid w:val="25CB1963"/>
    <w:rsid w:val="25E06614"/>
    <w:rsid w:val="261A61EB"/>
    <w:rsid w:val="267E150F"/>
    <w:rsid w:val="26805650"/>
    <w:rsid w:val="26BF5712"/>
    <w:rsid w:val="26C46931"/>
    <w:rsid w:val="26F173AA"/>
    <w:rsid w:val="26F24A28"/>
    <w:rsid w:val="26F71EC7"/>
    <w:rsid w:val="274120CE"/>
    <w:rsid w:val="276D22A6"/>
    <w:rsid w:val="27805ED2"/>
    <w:rsid w:val="27AB7429"/>
    <w:rsid w:val="27B806C7"/>
    <w:rsid w:val="27F46C2F"/>
    <w:rsid w:val="27F713BD"/>
    <w:rsid w:val="280D0ABD"/>
    <w:rsid w:val="281418B3"/>
    <w:rsid w:val="285C053E"/>
    <w:rsid w:val="28641BC7"/>
    <w:rsid w:val="28706B14"/>
    <w:rsid w:val="28795D57"/>
    <w:rsid w:val="28CB2F20"/>
    <w:rsid w:val="290A7633"/>
    <w:rsid w:val="2945677B"/>
    <w:rsid w:val="296A164B"/>
    <w:rsid w:val="299711A3"/>
    <w:rsid w:val="29FA7F26"/>
    <w:rsid w:val="2A0F0262"/>
    <w:rsid w:val="2A11490E"/>
    <w:rsid w:val="2A24123C"/>
    <w:rsid w:val="2A7903F8"/>
    <w:rsid w:val="2A9E41A6"/>
    <w:rsid w:val="2AD176E8"/>
    <w:rsid w:val="2ADC074E"/>
    <w:rsid w:val="2B774832"/>
    <w:rsid w:val="2BC93350"/>
    <w:rsid w:val="2BCA1C44"/>
    <w:rsid w:val="2BE1364E"/>
    <w:rsid w:val="2C0A1E9D"/>
    <w:rsid w:val="2C4735A9"/>
    <w:rsid w:val="2C5312D1"/>
    <w:rsid w:val="2C6137E6"/>
    <w:rsid w:val="2C9600AF"/>
    <w:rsid w:val="2C9B39D4"/>
    <w:rsid w:val="2CA1029C"/>
    <w:rsid w:val="2CDB2A32"/>
    <w:rsid w:val="2CE74D9A"/>
    <w:rsid w:val="2CE94FBB"/>
    <w:rsid w:val="2D036243"/>
    <w:rsid w:val="2D11052F"/>
    <w:rsid w:val="2D2713FE"/>
    <w:rsid w:val="2D644464"/>
    <w:rsid w:val="2DAA1531"/>
    <w:rsid w:val="2DD31482"/>
    <w:rsid w:val="2DED4837"/>
    <w:rsid w:val="2DF81D7C"/>
    <w:rsid w:val="2DFC12C6"/>
    <w:rsid w:val="2E592BD6"/>
    <w:rsid w:val="2E9F709C"/>
    <w:rsid w:val="2ED53BA8"/>
    <w:rsid w:val="2EED0A13"/>
    <w:rsid w:val="2F031089"/>
    <w:rsid w:val="2F1251F2"/>
    <w:rsid w:val="2F65609A"/>
    <w:rsid w:val="2FBD09F9"/>
    <w:rsid w:val="30660B82"/>
    <w:rsid w:val="30962F3E"/>
    <w:rsid w:val="309F648F"/>
    <w:rsid w:val="30AA51DE"/>
    <w:rsid w:val="30B43BCB"/>
    <w:rsid w:val="30D17E68"/>
    <w:rsid w:val="30E43B67"/>
    <w:rsid w:val="30FF2795"/>
    <w:rsid w:val="310E3D65"/>
    <w:rsid w:val="3164591C"/>
    <w:rsid w:val="317F78A7"/>
    <w:rsid w:val="3199741D"/>
    <w:rsid w:val="31A561FB"/>
    <w:rsid w:val="31AA2223"/>
    <w:rsid w:val="31C32453"/>
    <w:rsid w:val="31C63526"/>
    <w:rsid w:val="31FD180E"/>
    <w:rsid w:val="320B4CF3"/>
    <w:rsid w:val="3214373A"/>
    <w:rsid w:val="32586AD3"/>
    <w:rsid w:val="327F30CF"/>
    <w:rsid w:val="329A6ACE"/>
    <w:rsid w:val="32AB75FA"/>
    <w:rsid w:val="32C64BD3"/>
    <w:rsid w:val="334F3544"/>
    <w:rsid w:val="33834A37"/>
    <w:rsid w:val="33A253D1"/>
    <w:rsid w:val="33FF73F9"/>
    <w:rsid w:val="34371266"/>
    <w:rsid w:val="345B1306"/>
    <w:rsid w:val="34797F6E"/>
    <w:rsid w:val="348D3D32"/>
    <w:rsid w:val="34C215EF"/>
    <w:rsid w:val="34CB6483"/>
    <w:rsid w:val="34EC39C4"/>
    <w:rsid w:val="35191B59"/>
    <w:rsid w:val="35997ED3"/>
    <w:rsid w:val="35B0594E"/>
    <w:rsid w:val="35C47CF3"/>
    <w:rsid w:val="35D5780F"/>
    <w:rsid w:val="360673D5"/>
    <w:rsid w:val="360B1D73"/>
    <w:rsid w:val="360B7EE7"/>
    <w:rsid w:val="36157D72"/>
    <w:rsid w:val="361F3323"/>
    <w:rsid w:val="364A298F"/>
    <w:rsid w:val="364A7B2B"/>
    <w:rsid w:val="3659312E"/>
    <w:rsid w:val="3681117A"/>
    <w:rsid w:val="36E93760"/>
    <w:rsid w:val="3784394E"/>
    <w:rsid w:val="379B41C4"/>
    <w:rsid w:val="37A62041"/>
    <w:rsid w:val="37F25734"/>
    <w:rsid w:val="380A0B96"/>
    <w:rsid w:val="38337F5B"/>
    <w:rsid w:val="385135F5"/>
    <w:rsid w:val="385F665C"/>
    <w:rsid w:val="388E6551"/>
    <w:rsid w:val="38AE3BB0"/>
    <w:rsid w:val="38DC5505"/>
    <w:rsid w:val="39076BD7"/>
    <w:rsid w:val="391F7D60"/>
    <w:rsid w:val="392B5B2F"/>
    <w:rsid w:val="392E58B6"/>
    <w:rsid w:val="39496AE3"/>
    <w:rsid w:val="3985660B"/>
    <w:rsid w:val="39BB13DA"/>
    <w:rsid w:val="39DB06B3"/>
    <w:rsid w:val="3A127976"/>
    <w:rsid w:val="3A1704BF"/>
    <w:rsid w:val="3A7A43B2"/>
    <w:rsid w:val="3A7E5091"/>
    <w:rsid w:val="3AC2467B"/>
    <w:rsid w:val="3AC253ED"/>
    <w:rsid w:val="3ACB5746"/>
    <w:rsid w:val="3AD258E7"/>
    <w:rsid w:val="3AE826D9"/>
    <w:rsid w:val="3B047F30"/>
    <w:rsid w:val="3B3664CC"/>
    <w:rsid w:val="3B673648"/>
    <w:rsid w:val="3BB20883"/>
    <w:rsid w:val="3BF5659F"/>
    <w:rsid w:val="3C134C38"/>
    <w:rsid w:val="3C394599"/>
    <w:rsid w:val="3C635BF2"/>
    <w:rsid w:val="3C7B540C"/>
    <w:rsid w:val="3C8C0B9E"/>
    <w:rsid w:val="3CE82456"/>
    <w:rsid w:val="3D0527AD"/>
    <w:rsid w:val="3D1D3E8C"/>
    <w:rsid w:val="3D7830E2"/>
    <w:rsid w:val="3D9F080E"/>
    <w:rsid w:val="3DA8275C"/>
    <w:rsid w:val="3DAD7029"/>
    <w:rsid w:val="3DDE6765"/>
    <w:rsid w:val="3E39525D"/>
    <w:rsid w:val="3E441C7D"/>
    <w:rsid w:val="3E7F0554"/>
    <w:rsid w:val="3ECB2614"/>
    <w:rsid w:val="3F104E7C"/>
    <w:rsid w:val="3F1E19C9"/>
    <w:rsid w:val="3F8D2B60"/>
    <w:rsid w:val="3FC956FF"/>
    <w:rsid w:val="400131B8"/>
    <w:rsid w:val="40151C98"/>
    <w:rsid w:val="402B196F"/>
    <w:rsid w:val="40375763"/>
    <w:rsid w:val="406B12D1"/>
    <w:rsid w:val="40903A47"/>
    <w:rsid w:val="409C0D37"/>
    <w:rsid w:val="40A36A71"/>
    <w:rsid w:val="40CB3E39"/>
    <w:rsid w:val="40D07704"/>
    <w:rsid w:val="40EA5ADE"/>
    <w:rsid w:val="410E4736"/>
    <w:rsid w:val="414D38DC"/>
    <w:rsid w:val="4169226D"/>
    <w:rsid w:val="419752E1"/>
    <w:rsid w:val="41A14CA0"/>
    <w:rsid w:val="41BC286E"/>
    <w:rsid w:val="41C577BA"/>
    <w:rsid w:val="41D3631F"/>
    <w:rsid w:val="41F46181"/>
    <w:rsid w:val="41F466FD"/>
    <w:rsid w:val="422B0BD2"/>
    <w:rsid w:val="427E2C9C"/>
    <w:rsid w:val="428434A1"/>
    <w:rsid w:val="42A67A24"/>
    <w:rsid w:val="42B84DF7"/>
    <w:rsid w:val="42D846B9"/>
    <w:rsid w:val="43015D68"/>
    <w:rsid w:val="432B156A"/>
    <w:rsid w:val="433817F8"/>
    <w:rsid w:val="43625625"/>
    <w:rsid w:val="43B97E64"/>
    <w:rsid w:val="43D54F80"/>
    <w:rsid w:val="440D5045"/>
    <w:rsid w:val="4466378D"/>
    <w:rsid w:val="44F5724A"/>
    <w:rsid w:val="4555581D"/>
    <w:rsid w:val="457602B0"/>
    <w:rsid w:val="457D7419"/>
    <w:rsid w:val="45BE6191"/>
    <w:rsid w:val="45BF679F"/>
    <w:rsid w:val="45FE24FC"/>
    <w:rsid w:val="460C5979"/>
    <w:rsid w:val="46AC250E"/>
    <w:rsid w:val="46C56CAD"/>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655CDB"/>
    <w:rsid w:val="488A4F97"/>
    <w:rsid w:val="48C169FF"/>
    <w:rsid w:val="48D321B5"/>
    <w:rsid w:val="48DC6BCF"/>
    <w:rsid w:val="4966417F"/>
    <w:rsid w:val="49701211"/>
    <w:rsid w:val="49E9233D"/>
    <w:rsid w:val="4A190059"/>
    <w:rsid w:val="4A2324A9"/>
    <w:rsid w:val="4A2C54FD"/>
    <w:rsid w:val="4A3703C6"/>
    <w:rsid w:val="4AAD1944"/>
    <w:rsid w:val="4AAE33DD"/>
    <w:rsid w:val="4AC31003"/>
    <w:rsid w:val="4AE93159"/>
    <w:rsid w:val="4AF26901"/>
    <w:rsid w:val="4AF8354A"/>
    <w:rsid w:val="4B0B4636"/>
    <w:rsid w:val="4B101FF1"/>
    <w:rsid w:val="4B3B3C56"/>
    <w:rsid w:val="4B6F5171"/>
    <w:rsid w:val="4B894E29"/>
    <w:rsid w:val="4B8A38B7"/>
    <w:rsid w:val="4BD0339A"/>
    <w:rsid w:val="4BE255AD"/>
    <w:rsid w:val="4C154D1E"/>
    <w:rsid w:val="4C1E62FB"/>
    <w:rsid w:val="4C247E4A"/>
    <w:rsid w:val="4C496DB3"/>
    <w:rsid w:val="4C8E2AE9"/>
    <w:rsid w:val="4D2455C6"/>
    <w:rsid w:val="4D462159"/>
    <w:rsid w:val="4D553300"/>
    <w:rsid w:val="4D5C5FAC"/>
    <w:rsid w:val="4D7D6E2D"/>
    <w:rsid w:val="4DA00E6E"/>
    <w:rsid w:val="4DC605B6"/>
    <w:rsid w:val="4DEC0985"/>
    <w:rsid w:val="4DFB4F20"/>
    <w:rsid w:val="4E27683A"/>
    <w:rsid w:val="4EC74CC4"/>
    <w:rsid w:val="4EF32FFF"/>
    <w:rsid w:val="4F232A9C"/>
    <w:rsid w:val="4F2765B1"/>
    <w:rsid w:val="4F285975"/>
    <w:rsid w:val="4F5E2A8B"/>
    <w:rsid w:val="4F8E43A5"/>
    <w:rsid w:val="4F952B74"/>
    <w:rsid w:val="4FBF79AC"/>
    <w:rsid w:val="4FE30CD5"/>
    <w:rsid w:val="50290C55"/>
    <w:rsid w:val="50520EBB"/>
    <w:rsid w:val="50607024"/>
    <w:rsid w:val="506A4F14"/>
    <w:rsid w:val="50701CEF"/>
    <w:rsid w:val="50751061"/>
    <w:rsid w:val="507C5FAD"/>
    <w:rsid w:val="507E3A43"/>
    <w:rsid w:val="50BE2993"/>
    <w:rsid w:val="50D63702"/>
    <w:rsid w:val="50F12C37"/>
    <w:rsid w:val="51101AA1"/>
    <w:rsid w:val="512F1290"/>
    <w:rsid w:val="51796EDE"/>
    <w:rsid w:val="51867298"/>
    <w:rsid w:val="518D4602"/>
    <w:rsid w:val="521936F1"/>
    <w:rsid w:val="52195EDF"/>
    <w:rsid w:val="52313387"/>
    <w:rsid w:val="523C02D8"/>
    <w:rsid w:val="52480238"/>
    <w:rsid w:val="525767B4"/>
    <w:rsid w:val="529357CD"/>
    <w:rsid w:val="529526FD"/>
    <w:rsid w:val="52D4333A"/>
    <w:rsid w:val="52E04D27"/>
    <w:rsid w:val="530448FE"/>
    <w:rsid w:val="532E278A"/>
    <w:rsid w:val="53492294"/>
    <w:rsid w:val="539A390F"/>
    <w:rsid w:val="53DB3477"/>
    <w:rsid w:val="54AF6B42"/>
    <w:rsid w:val="54B205EE"/>
    <w:rsid w:val="54E218CB"/>
    <w:rsid w:val="54E44BF8"/>
    <w:rsid w:val="54E80108"/>
    <w:rsid w:val="54FC325C"/>
    <w:rsid w:val="55050D67"/>
    <w:rsid w:val="559C3368"/>
    <w:rsid w:val="55DD6F2A"/>
    <w:rsid w:val="55F72D1E"/>
    <w:rsid w:val="56022FBC"/>
    <w:rsid w:val="562805B1"/>
    <w:rsid w:val="56514CF9"/>
    <w:rsid w:val="56553261"/>
    <w:rsid w:val="565975B0"/>
    <w:rsid w:val="56B41A58"/>
    <w:rsid w:val="56BC356A"/>
    <w:rsid w:val="56D577C5"/>
    <w:rsid w:val="56E23970"/>
    <w:rsid w:val="570856B7"/>
    <w:rsid w:val="573547FD"/>
    <w:rsid w:val="577A3C7D"/>
    <w:rsid w:val="578F220A"/>
    <w:rsid w:val="5798657F"/>
    <w:rsid w:val="57B06157"/>
    <w:rsid w:val="57D503EA"/>
    <w:rsid w:val="57FC07D9"/>
    <w:rsid w:val="58500F22"/>
    <w:rsid w:val="58581669"/>
    <w:rsid w:val="58B82BCC"/>
    <w:rsid w:val="590D1052"/>
    <w:rsid w:val="591C0009"/>
    <w:rsid w:val="593223A7"/>
    <w:rsid w:val="59610A7F"/>
    <w:rsid w:val="59687D7F"/>
    <w:rsid w:val="59912A3B"/>
    <w:rsid w:val="599C51D2"/>
    <w:rsid w:val="59A353EA"/>
    <w:rsid w:val="59A81F44"/>
    <w:rsid w:val="59A95289"/>
    <w:rsid w:val="59AA2571"/>
    <w:rsid w:val="59B15F48"/>
    <w:rsid w:val="59C600B6"/>
    <w:rsid w:val="59D15A81"/>
    <w:rsid w:val="59F13672"/>
    <w:rsid w:val="5A07523D"/>
    <w:rsid w:val="5A2802D2"/>
    <w:rsid w:val="5A553984"/>
    <w:rsid w:val="5ACF0F3A"/>
    <w:rsid w:val="5AD450DC"/>
    <w:rsid w:val="5AEE752B"/>
    <w:rsid w:val="5B7C1136"/>
    <w:rsid w:val="5B7D506F"/>
    <w:rsid w:val="5BD20414"/>
    <w:rsid w:val="5BF54BBF"/>
    <w:rsid w:val="5C645049"/>
    <w:rsid w:val="5C6B1600"/>
    <w:rsid w:val="5C8B39C5"/>
    <w:rsid w:val="5C921AD0"/>
    <w:rsid w:val="5CAF7180"/>
    <w:rsid w:val="5CC77483"/>
    <w:rsid w:val="5CCD5BE1"/>
    <w:rsid w:val="5CD94ADB"/>
    <w:rsid w:val="5CE45D66"/>
    <w:rsid w:val="5D182295"/>
    <w:rsid w:val="5D237020"/>
    <w:rsid w:val="5D3D3693"/>
    <w:rsid w:val="5D5F741C"/>
    <w:rsid w:val="5DAE151D"/>
    <w:rsid w:val="5DC07B62"/>
    <w:rsid w:val="5DFD51DB"/>
    <w:rsid w:val="5E0D36E5"/>
    <w:rsid w:val="5E7510E4"/>
    <w:rsid w:val="5EBD3AB4"/>
    <w:rsid w:val="5ED711BC"/>
    <w:rsid w:val="5F0A3BA8"/>
    <w:rsid w:val="5F1A5A71"/>
    <w:rsid w:val="5F3D3A73"/>
    <w:rsid w:val="5F434754"/>
    <w:rsid w:val="5F9E6C40"/>
    <w:rsid w:val="5FE87018"/>
    <w:rsid w:val="602765D8"/>
    <w:rsid w:val="602F201A"/>
    <w:rsid w:val="605F1B37"/>
    <w:rsid w:val="607C3753"/>
    <w:rsid w:val="609578A8"/>
    <w:rsid w:val="60C30855"/>
    <w:rsid w:val="60CC7FFA"/>
    <w:rsid w:val="610B17E6"/>
    <w:rsid w:val="61421EFD"/>
    <w:rsid w:val="615C2588"/>
    <w:rsid w:val="615C5041"/>
    <w:rsid w:val="61D705BD"/>
    <w:rsid w:val="61DD59E8"/>
    <w:rsid w:val="61E56B7B"/>
    <w:rsid w:val="622F56E3"/>
    <w:rsid w:val="62420984"/>
    <w:rsid w:val="626C4E5F"/>
    <w:rsid w:val="6271154E"/>
    <w:rsid w:val="627D0863"/>
    <w:rsid w:val="62A93DF4"/>
    <w:rsid w:val="62B70B91"/>
    <w:rsid w:val="63206216"/>
    <w:rsid w:val="634B3A82"/>
    <w:rsid w:val="63523344"/>
    <w:rsid w:val="63560707"/>
    <w:rsid w:val="6357067F"/>
    <w:rsid w:val="63D03DEE"/>
    <w:rsid w:val="63DD6E9C"/>
    <w:rsid w:val="641A2384"/>
    <w:rsid w:val="642167EE"/>
    <w:rsid w:val="64CB6601"/>
    <w:rsid w:val="64EF3666"/>
    <w:rsid w:val="64FC1880"/>
    <w:rsid w:val="65094EFF"/>
    <w:rsid w:val="651B3798"/>
    <w:rsid w:val="65370CD5"/>
    <w:rsid w:val="65847BBF"/>
    <w:rsid w:val="65B57404"/>
    <w:rsid w:val="65B93A8D"/>
    <w:rsid w:val="65CA1E2C"/>
    <w:rsid w:val="65D975AE"/>
    <w:rsid w:val="661746DD"/>
    <w:rsid w:val="664805B8"/>
    <w:rsid w:val="665E34DC"/>
    <w:rsid w:val="66C053F3"/>
    <w:rsid w:val="66CD03F2"/>
    <w:rsid w:val="66D221EE"/>
    <w:rsid w:val="66DA55D7"/>
    <w:rsid w:val="66F82180"/>
    <w:rsid w:val="670F41E0"/>
    <w:rsid w:val="677D25E8"/>
    <w:rsid w:val="678A787F"/>
    <w:rsid w:val="67AD6B3A"/>
    <w:rsid w:val="67BD0300"/>
    <w:rsid w:val="67D325C4"/>
    <w:rsid w:val="68031C5B"/>
    <w:rsid w:val="682616B3"/>
    <w:rsid w:val="682A4EAB"/>
    <w:rsid w:val="68316174"/>
    <w:rsid w:val="684D34F9"/>
    <w:rsid w:val="68F533A3"/>
    <w:rsid w:val="690453B7"/>
    <w:rsid w:val="690B53E9"/>
    <w:rsid w:val="690F418B"/>
    <w:rsid w:val="699323D6"/>
    <w:rsid w:val="69B32313"/>
    <w:rsid w:val="6A007B68"/>
    <w:rsid w:val="6A0409C8"/>
    <w:rsid w:val="6A700D2B"/>
    <w:rsid w:val="6A741183"/>
    <w:rsid w:val="6A7A2736"/>
    <w:rsid w:val="6A7B4B9C"/>
    <w:rsid w:val="6AA651A8"/>
    <w:rsid w:val="6AEB121D"/>
    <w:rsid w:val="6AFB78C4"/>
    <w:rsid w:val="6B004CFA"/>
    <w:rsid w:val="6B120A68"/>
    <w:rsid w:val="6B586E1F"/>
    <w:rsid w:val="6BAF5652"/>
    <w:rsid w:val="6C6F4FDA"/>
    <w:rsid w:val="6C89456C"/>
    <w:rsid w:val="6CA35C83"/>
    <w:rsid w:val="6CA52710"/>
    <w:rsid w:val="6CAC58B4"/>
    <w:rsid w:val="6D4A2539"/>
    <w:rsid w:val="6D572C9F"/>
    <w:rsid w:val="6D97094D"/>
    <w:rsid w:val="6DAE632B"/>
    <w:rsid w:val="6DF009F6"/>
    <w:rsid w:val="6E217EA6"/>
    <w:rsid w:val="6E2666BC"/>
    <w:rsid w:val="6E2F175D"/>
    <w:rsid w:val="6E605E8D"/>
    <w:rsid w:val="6E8959F5"/>
    <w:rsid w:val="6EBC6999"/>
    <w:rsid w:val="6EDF5FC3"/>
    <w:rsid w:val="6EF90D33"/>
    <w:rsid w:val="6F3F60AD"/>
    <w:rsid w:val="6F7A5D4F"/>
    <w:rsid w:val="6F83312B"/>
    <w:rsid w:val="6F901B66"/>
    <w:rsid w:val="6FA629D4"/>
    <w:rsid w:val="6FA70F58"/>
    <w:rsid w:val="6FD10552"/>
    <w:rsid w:val="6FFA3C1B"/>
    <w:rsid w:val="70014D67"/>
    <w:rsid w:val="70117B8A"/>
    <w:rsid w:val="70360B36"/>
    <w:rsid w:val="704F39D7"/>
    <w:rsid w:val="709E0125"/>
    <w:rsid w:val="70BB2EF0"/>
    <w:rsid w:val="70CC6A1F"/>
    <w:rsid w:val="70CE0A84"/>
    <w:rsid w:val="70E10DC3"/>
    <w:rsid w:val="70F054AD"/>
    <w:rsid w:val="71095983"/>
    <w:rsid w:val="712D59A6"/>
    <w:rsid w:val="71402F8B"/>
    <w:rsid w:val="71475ADB"/>
    <w:rsid w:val="717140CF"/>
    <w:rsid w:val="718F10F7"/>
    <w:rsid w:val="71D55C91"/>
    <w:rsid w:val="71DE13EC"/>
    <w:rsid w:val="722B37CD"/>
    <w:rsid w:val="72305A9A"/>
    <w:rsid w:val="72427DB1"/>
    <w:rsid w:val="726B260D"/>
    <w:rsid w:val="73287A23"/>
    <w:rsid w:val="7331324E"/>
    <w:rsid w:val="733946CF"/>
    <w:rsid w:val="73455C21"/>
    <w:rsid w:val="73710635"/>
    <w:rsid w:val="73BF03A5"/>
    <w:rsid w:val="73D425F7"/>
    <w:rsid w:val="73D6575A"/>
    <w:rsid w:val="73E636C1"/>
    <w:rsid w:val="74600E53"/>
    <w:rsid w:val="746A0CB1"/>
    <w:rsid w:val="74712AFB"/>
    <w:rsid w:val="74994192"/>
    <w:rsid w:val="74A31B48"/>
    <w:rsid w:val="74AD4F44"/>
    <w:rsid w:val="74BC1C78"/>
    <w:rsid w:val="750A2023"/>
    <w:rsid w:val="75171C24"/>
    <w:rsid w:val="75486E94"/>
    <w:rsid w:val="758D04C2"/>
    <w:rsid w:val="75AD0CCB"/>
    <w:rsid w:val="75E379A0"/>
    <w:rsid w:val="75E4396D"/>
    <w:rsid w:val="75F020A1"/>
    <w:rsid w:val="7615032B"/>
    <w:rsid w:val="76655349"/>
    <w:rsid w:val="7676736A"/>
    <w:rsid w:val="768F29EE"/>
    <w:rsid w:val="76926203"/>
    <w:rsid w:val="76933951"/>
    <w:rsid w:val="771D661B"/>
    <w:rsid w:val="771F7714"/>
    <w:rsid w:val="77207795"/>
    <w:rsid w:val="773903BD"/>
    <w:rsid w:val="773F662A"/>
    <w:rsid w:val="77617342"/>
    <w:rsid w:val="77890DAA"/>
    <w:rsid w:val="77D835AD"/>
    <w:rsid w:val="77EE2F48"/>
    <w:rsid w:val="77F10205"/>
    <w:rsid w:val="784E332E"/>
    <w:rsid w:val="78782A0D"/>
    <w:rsid w:val="78C57EA9"/>
    <w:rsid w:val="791A571A"/>
    <w:rsid w:val="79286132"/>
    <w:rsid w:val="797E392B"/>
    <w:rsid w:val="79A2171F"/>
    <w:rsid w:val="79A252FF"/>
    <w:rsid w:val="79D33056"/>
    <w:rsid w:val="79E119BE"/>
    <w:rsid w:val="79E65B55"/>
    <w:rsid w:val="79E76BC3"/>
    <w:rsid w:val="7A0131C9"/>
    <w:rsid w:val="7A0E722C"/>
    <w:rsid w:val="7A124C14"/>
    <w:rsid w:val="7A475E69"/>
    <w:rsid w:val="7A810C37"/>
    <w:rsid w:val="7ABB10EE"/>
    <w:rsid w:val="7B105707"/>
    <w:rsid w:val="7B302E56"/>
    <w:rsid w:val="7B350C9D"/>
    <w:rsid w:val="7B7D36B3"/>
    <w:rsid w:val="7B9741C7"/>
    <w:rsid w:val="7BD27B88"/>
    <w:rsid w:val="7C0A1E29"/>
    <w:rsid w:val="7C1E1AF3"/>
    <w:rsid w:val="7C26369C"/>
    <w:rsid w:val="7C311CA7"/>
    <w:rsid w:val="7C3933DF"/>
    <w:rsid w:val="7C4A37AF"/>
    <w:rsid w:val="7C590E02"/>
    <w:rsid w:val="7C9E5A24"/>
    <w:rsid w:val="7CAC00CB"/>
    <w:rsid w:val="7CBE2557"/>
    <w:rsid w:val="7CE73C35"/>
    <w:rsid w:val="7D022178"/>
    <w:rsid w:val="7D575412"/>
    <w:rsid w:val="7D62117D"/>
    <w:rsid w:val="7D7E5CB0"/>
    <w:rsid w:val="7D83197B"/>
    <w:rsid w:val="7DB3208B"/>
    <w:rsid w:val="7DB5193A"/>
    <w:rsid w:val="7DB54254"/>
    <w:rsid w:val="7E181D7D"/>
    <w:rsid w:val="7E3E1EF2"/>
    <w:rsid w:val="7E4B337A"/>
    <w:rsid w:val="7E5E744E"/>
    <w:rsid w:val="7E951513"/>
    <w:rsid w:val="7EA96AC5"/>
    <w:rsid w:val="7EB06086"/>
    <w:rsid w:val="7EC118B4"/>
    <w:rsid w:val="7EC83404"/>
    <w:rsid w:val="7ED01B68"/>
    <w:rsid w:val="7EF74FC9"/>
    <w:rsid w:val="7F3745CA"/>
    <w:rsid w:val="7F5A59DA"/>
    <w:rsid w:val="7F653669"/>
    <w:rsid w:val="7F750737"/>
    <w:rsid w:val="7F846976"/>
    <w:rsid w:val="7FA01201"/>
    <w:rsid w:val="7FB901DB"/>
    <w:rsid w:val="7FBB72CB"/>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4C46A66-D8D1-457A-8221-C4034419A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paragraph" w:styleId="5">
    <w:name w:val="heading 5"/>
    <w:basedOn w:val="a"/>
    <w:next w:val="a"/>
    <w:link w:val="5Char"/>
    <w:uiPriority w:val="99"/>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style>
  <w:style w:type="paragraph" w:styleId="a4">
    <w:name w:val="Body Text"/>
    <w:basedOn w:val="a"/>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680"/>
        <w:tab w:val="right" w:pos="9360"/>
      </w:tabs>
      <w:spacing w:before="0" w:after="0" w:line="240" w:lineRule="auto"/>
    </w:pPr>
  </w:style>
  <w:style w:type="paragraph" w:styleId="10">
    <w:name w:val="toc 1"/>
    <w:basedOn w:val="a"/>
    <w:next w:val="a"/>
    <w:uiPriority w:val="39"/>
    <w:unhideWhenUsed/>
    <w:qFormat/>
    <w:pPr>
      <w:tabs>
        <w:tab w:val="decimal" w:pos="0"/>
        <w:tab w:val="left" w:pos="1282"/>
        <w:tab w:val="right" w:pos="9660"/>
      </w:tabs>
      <w:spacing w:before="120" w:after="120"/>
      <w:ind w:rightChars="200" w:right="420"/>
      <w:jc w:val="left"/>
    </w:pPr>
    <w:rPr>
      <w:rFonts w:eastAsiaTheme="minorEastAsia"/>
      <w:b/>
      <w:bCs/>
      <w:sz w:val="20"/>
    </w:rPr>
  </w:style>
  <w:style w:type="paragraph" w:styleId="a8">
    <w:name w:val="List"/>
    <w:basedOn w:val="a"/>
    <w:qFormat/>
    <w:pPr>
      <w:ind w:left="568" w:hanging="284"/>
    </w:pPr>
  </w:style>
  <w:style w:type="paragraph" w:styleId="a9">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a">
    <w:name w:val="Normal (Web)"/>
    <w:basedOn w:val="a"/>
    <w:uiPriority w:val="99"/>
    <w:unhideWhenUsed/>
    <w:qFormat/>
    <w:pPr>
      <w:spacing w:after="0"/>
      <w:jc w:val="left"/>
    </w:pPr>
    <w:rPr>
      <w:rFonts w:ascii="宋体" w:hAnsi="宋体" w:cs="宋体"/>
      <w:sz w:val="24"/>
      <w:szCs w:val="24"/>
    </w:rPr>
  </w:style>
  <w:style w:type="paragraph" w:styleId="ab">
    <w:name w:val="annotation subject"/>
    <w:basedOn w:val="a3"/>
    <w:next w:val="a3"/>
    <w:link w:val="Char2"/>
    <w:uiPriority w:val="99"/>
    <w:semiHidden/>
    <w:unhideWhenUsed/>
    <w:qFormat/>
    <w:pPr>
      <w:spacing w:line="240" w:lineRule="auto"/>
    </w:pPr>
    <w:rPr>
      <w:b/>
      <w:bCs/>
      <w:sz w:val="20"/>
    </w:rPr>
  </w:style>
  <w:style w:type="table" w:styleId="ac">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99"/>
    <w:qFormat/>
    <w:rPr>
      <w:b/>
      <w:sz w:val="20"/>
      <w:szCs w:val="20"/>
      <w:shd w:val="clear" w:color="auto" w:fill="00A65A"/>
    </w:rPr>
  </w:style>
  <w:style w:type="character" w:styleId="ae">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f">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0">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1">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apple-converted-space">
    <w:name w:val="apple-converted-space"/>
    <w:basedOn w:val="a0"/>
    <w:qFormat/>
  </w:style>
  <w:style w:type="character" w:customStyle="1" w:styleId="Char0">
    <w:name w:val="批注框文本 Char"/>
    <w:basedOn w:val="a0"/>
    <w:link w:val="a5"/>
    <w:uiPriority w:val="99"/>
    <w:semiHidden/>
    <w:qFormat/>
    <w:rPr>
      <w:rFonts w:ascii="Microsoft YaHei UI" w:eastAsia="Microsoft YaHei UI"/>
      <w:kern w:val="2"/>
      <w:sz w:val="18"/>
      <w:szCs w:val="18"/>
    </w:rPr>
  </w:style>
  <w:style w:type="character" w:customStyle="1" w:styleId="Char">
    <w:name w:val="批注文字 Char"/>
    <w:basedOn w:val="a0"/>
    <w:link w:val="a3"/>
    <w:semiHidden/>
    <w:qFormat/>
    <w:rPr>
      <w:kern w:val="2"/>
      <w:sz w:val="21"/>
    </w:rPr>
  </w:style>
  <w:style w:type="character" w:customStyle="1" w:styleId="Char2">
    <w:name w:val="批注主题 Char"/>
    <w:basedOn w:val="Char"/>
    <w:link w:val="ab"/>
    <w:uiPriority w:val="99"/>
    <w:semiHidden/>
    <w:qFormat/>
    <w:rPr>
      <w:b/>
      <w:bCs/>
      <w:kern w:val="2"/>
      <w:sz w:val="21"/>
    </w:rPr>
  </w:style>
  <w:style w:type="character" w:customStyle="1" w:styleId="Char1">
    <w:name w:val="页眉 Char"/>
    <w:basedOn w:val="a0"/>
    <w:link w:val="a7"/>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2">
    <w:name w:val="修订1"/>
    <w:hidden/>
    <w:uiPriority w:val="99"/>
    <w:semiHidden/>
    <w:qFormat/>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spacing w:after="160" w:line="259" w:lineRule="auto"/>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8"/>
    <w:qFormat/>
  </w:style>
  <w:style w:type="paragraph" w:customStyle="1" w:styleId="ListParagraph1">
    <w:name w:val="List Paragraph1"/>
    <w:basedOn w:val="a"/>
    <w:qFormat/>
    <w:pPr>
      <w:spacing w:beforeLines="0" w:before="100" w:beforeAutospacing="1" w:afterLines="0" w:after="100" w:afterAutospacing="1" w:line="240" w:lineRule="auto"/>
      <w:ind w:leftChars="400" w:left="840"/>
      <w:jc w:val="left"/>
    </w:pPr>
    <w:rPr>
      <w:rFonts w:eastAsia="MS Gothic"/>
      <w:kern w:val="0"/>
      <w:sz w:val="24"/>
      <w:szCs w:val="24"/>
    </w:rPr>
  </w:style>
  <w:style w:type="paragraph" w:customStyle="1" w:styleId="TAH">
    <w:name w:val="TAH"/>
    <w:basedOn w:val="a"/>
    <w:qFormat/>
    <w:pPr>
      <w:keepNext/>
      <w:keepLines/>
      <w:widowControl w:val="0"/>
      <w:overflowPunct w:val="0"/>
      <w:autoSpaceDE w:val="0"/>
      <w:autoSpaceDN w:val="0"/>
      <w:adjustRightInd w:val="0"/>
      <w:spacing w:beforeLines="0" w:before="0" w:afterLines="0" w:after="0" w:line="240" w:lineRule="auto"/>
      <w:jc w:val="center"/>
      <w:textAlignment w:val="baseline"/>
    </w:pPr>
    <w:rPr>
      <w:rFonts w:ascii="Arial" w:eastAsia="Times New Roman" w:hAnsi="Arial"/>
      <w:b/>
      <w:bCs/>
      <w:kern w:val="0"/>
      <w:sz w:val="18"/>
      <w:szCs w:val="18"/>
    </w:rPr>
  </w:style>
  <w:style w:type="paragraph" w:customStyle="1" w:styleId="TAN">
    <w:name w:val="TAN"/>
    <w:basedOn w:val="TAL"/>
    <w:qFormat/>
    <w:pPr>
      <w:widowControl w:val="0"/>
      <w:spacing w:beforeLines="0" w:before="100" w:beforeAutospacing="1" w:afterLines="0" w:after="100" w:afterAutospacing="1" w:line="240" w:lineRule="auto"/>
      <w:ind w:left="851" w:hanging="851"/>
      <w:jc w:val="left"/>
    </w:pPr>
    <w:rPr>
      <w:kern w:val="0"/>
      <w:szCs w:val="18"/>
    </w:rPr>
  </w:style>
  <w:style w:type="paragraph" w:customStyle="1" w:styleId="13">
    <w:name w:val="列出段落1"/>
    <w:basedOn w:val="a"/>
    <w:qFormat/>
    <w:pPr>
      <w:spacing w:beforeLines="0" w:before="100" w:beforeAutospacing="1" w:afterLines="0" w:after="100" w:afterAutospacing="1" w:line="240" w:lineRule="auto"/>
      <w:ind w:leftChars="400" w:left="840"/>
      <w:jc w:val="left"/>
    </w:pPr>
    <w:rPr>
      <w:rFonts w:eastAsia="MS Gothic"/>
      <w:kern w:val="0"/>
      <w:sz w:val="24"/>
      <w:szCs w:val="24"/>
    </w:rPr>
  </w:style>
  <w:style w:type="paragraph" w:customStyle="1" w:styleId="ListParagraph2">
    <w:name w:val="List Paragraph2"/>
    <w:basedOn w:val="a"/>
    <w:qFormat/>
    <w:pPr>
      <w:spacing w:beforeLines="0" w:before="100" w:beforeAutospacing="1" w:afterLines="0" w:after="100" w:afterAutospacing="1" w:line="240" w:lineRule="auto"/>
      <w:ind w:leftChars="400" w:left="840"/>
      <w:jc w:val="left"/>
    </w:pPr>
    <w:rPr>
      <w:rFonts w:eastAsia="MS Gothic"/>
      <w:kern w:val="0"/>
      <w:sz w:val="24"/>
      <w:szCs w:val="24"/>
    </w:rPr>
  </w:style>
  <w:style w:type="character" w:customStyle="1" w:styleId="5Char">
    <w:name w:val="标题 5 Char"/>
    <w:basedOn w:val="a0"/>
    <w:link w:val="5"/>
    <w:uiPriority w:val="99"/>
    <w:qFormat/>
    <w:rPr>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46EB9A-C0ED-4A68-9D2C-626BA0CF2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1160</Words>
  <Characters>6617</Characters>
  <Application>Microsoft Office Word</Application>
  <DocSecurity>0</DocSecurity>
  <Lines>55</Lines>
  <Paragraphs>15</Paragraphs>
  <ScaleCrop>false</ScaleCrop>
  <Company/>
  <LinksUpToDate>false</LinksUpToDate>
  <CharactersWithSpaces>7762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陈梦竹00206166</cp:lastModifiedBy>
  <cp:revision>200</cp:revision>
  <dcterms:created xsi:type="dcterms:W3CDTF">2019-04-08T03:09:00Z</dcterms:created>
  <dcterms:modified xsi:type="dcterms:W3CDTF">2022-01-11T12:39:00Z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